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45"/>
        <w:spacing w:line="580" w:lineRule="exact"/>
        <w:rPr>
          <w:rFonts w:ascii="方正小标宋_GBK" w:eastAsia="方正小标宋_GBK" w:cs="方正小标宋_GBK"/>
          <w:szCs w:val="32"/>
        </w:rPr>
      </w:pPr>
      <w:bookmarkStart w:id="0" w:name="_Hlk25540369"/>
      <w:bookmarkStart w:id="1" w:name="cogw__正文__file"/>
      <w:bookmarkStart w:id="2" w:name="_GoBack"/>
      <w:bookmarkEnd w:id="2"/>
      <w:r>
        <w:rPr>
          <w:rFonts w:ascii="方正小标宋_GBK" w:eastAsia="方正小标宋_GBK" w:cs="方正小标宋_GBK"/>
          <w:szCs w:val="32"/>
        </w:rPr>
        <w:t>附件</w:t>
      </w:r>
    </w:p>
    <w:p>
      <w:pPr>
        <w:pStyle w:val="45"/>
        <w:spacing w:line="580" w:lineRule="exact"/>
        <w:jc w:val="center"/>
        <w:rPr>
          <w:rFonts w:ascii="方正小标宋_GBK" w:eastAsia="方正小标宋_GBK" w:cs="方正小标宋_GBK"/>
          <w:sz w:val="44"/>
          <w:szCs w:val="44"/>
        </w:rPr>
      </w:pPr>
    </w:p>
    <w:p>
      <w:pPr>
        <w:pStyle w:val="45"/>
        <w:spacing w:line="580" w:lineRule="exact"/>
        <w:jc w:val="center"/>
        <w:rPr>
          <w:rFonts w:ascii="方正小标宋_GBK" w:eastAsia="方正小标宋_GBK" w:cs="方正小标宋_GBK"/>
          <w:sz w:val="44"/>
          <w:szCs w:val="44"/>
        </w:rPr>
      </w:pPr>
      <w:r>
        <w:rPr>
          <w:rFonts w:ascii="方正小标宋_GBK" w:eastAsia="方正小标宋_GBK" w:cs="方正小标宋_GBK" w:hint="eastAsia"/>
          <w:sz w:val="44"/>
          <w:szCs w:val="44"/>
        </w:rPr>
        <w:t>重庆海关关区2021年政府信息公开工作</w:t>
      </w:r>
    </w:p>
    <w:p>
      <w:pPr>
        <w:pStyle w:val="45"/>
        <w:spacing w:line="580" w:lineRule="exact"/>
        <w:jc w:val="center"/>
        <w:rPr>
          <w:rFonts w:ascii="方正小标宋_GBK" w:eastAsia="方正小标宋_GBK" w:cs="方正小标宋_GBK"/>
          <w:sz w:val="44"/>
          <w:szCs w:val="44"/>
        </w:rPr>
      </w:pPr>
      <w:r>
        <w:rPr>
          <w:rFonts w:ascii="方正小标宋_GBK" w:eastAsia="方正小标宋_GBK" w:cs="方正小标宋_GBK" w:hint="eastAsia"/>
          <w:sz w:val="44"/>
          <w:szCs w:val="44"/>
        </w:rPr>
        <w:t>年度报告</w:t>
      </w:r>
      <w:bookmarkEnd w:id="0"/>
    </w:p>
    <w:p>
      <w:pPr>
        <w:pStyle w:val="31"/>
        <w:widowControl/>
        <w:shd w:val="clear" w:color="auto" w:fill="FFFFFF"/>
        <w:adjustRightInd w:val="0"/>
        <w:snapToGrid w:val="0"/>
        <w:spacing w:beforeAutospacing="0" w:afterAutospacing="0" w:line="560" w:lineRule="exact"/>
        <w:ind w:firstLineChars="200" w:firstLine="640"/>
        <w:jc w:val="both"/>
        <w:rPr>
          <w:rFonts w:ascii="方正黑体_GBK" w:eastAsia="方正黑体_GBK" w:cs="楷体_GB2312"/>
          <w:bCs/>
          <w:sz w:val="32"/>
          <w:szCs w:val="32"/>
        </w:rPr>
      </w:pPr>
      <w:r>
        <w:rPr>
          <w:rFonts w:ascii="方正黑体_GBK" w:eastAsia="方正黑体_GBK" w:cs="楷体_GB2312" w:hint="eastAsia"/>
          <w:bCs/>
          <w:sz w:val="32"/>
          <w:szCs w:val="32"/>
          <w:shd w:val="clear" w:color="auto" w:fill="FFFFFF"/>
        </w:rPr>
        <w:t>一、总体情况</w:t>
      </w:r>
    </w:p>
    <w:p>
      <w:pPr>
        <w:pStyle w:val="46"/>
        <w:ind w:firstLineChars="200" w:firstLine="616"/>
        <w:rPr>
          <w:spacing w:val="-6"/>
        </w:rPr>
      </w:pPr>
      <w:r>
        <w:rPr>
          <w:rFonts w:hint="eastAsia"/>
          <w:spacing w:val="-6"/>
        </w:rPr>
        <w:t>2021年</w:t>
      </w:r>
      <w:r>
        <w:rPr>
          <w:spacing w:val="-6"/>
        </w:rPr>
        <w:t>，</w:t>
      </w:r>
      <w:r>
        <w:rPr>
          <w:rFonts w:hint="eastAsia"/>
          <w:spacing w:val="-6"/>
        </w:rPr>
        <w:t>重庆海关认真</w:t>
      </w:r>
      <w:r>
        <w:rPr>
          <w:spacing w:val="-6"/>
        </w:rPr>
        <w:t>贯彻落实《政府信息公开条例》和</w:t>
      </w:r>
      <w:r>
        <w:rPr>
          <w:rFonts w:hint="eastAsia"/>
          <w:spacing w:val="-6"/>
        </w:rPr>
        <w:t>海关总署关于</w:t>
      </w:r>
      <w:r>
        <w:rPr>
          <w:spacing w:val="-6"/>
        </w:rPr>
        <w:t>政务公开工作</w:t>
      </w:r>
      <w:r>
        <w:rPr>
          <w:rFonts w:hint="eastAsia"/>
          <w:spacing w:val="-6"/>
        </w:rPr>
        <w:t>的一系列</w:t>
      </w:r>
      <w:r>
        <w:rPr>
          <w:spacing w:val="-6"/>
        </w:rPr>
        <w:t>部署</w:t>
      </w:r>
      <w:r>
        <w:rPr>
          <w:rFonts w:hint="eastAsia"/>
          <w:spacing w:val="-6"/>
        </w:rPr>
        <w:t>，不断强化政府信息管理，持续加强海关热点政策发布解读回应，积极做好优化口岸营商环境、“六稳六保”等重点信息公开工作，深入探索和推动基层海关政务公开标准化工作，各项工作均有序、高效推动落实。</w:t>
      </w:r>
    </w:p>
    <w:p>
      <w:pPr>
        <w:pStyle w:val="46"/>
        <w:ind w:firstLineChars="150" w:firstLine="462"/>
        <w:rPr>
          <w:spacing w:val="-6"/>
        </w:rPr>
      </w:pPr>
      <w:r>
        <w:rPr>
          <w:rFonts w:ascii="方正楷体_GBK" w:eastAsia="方正楷体_GBK" w:hint="eastAsia"/>
          <w:b/>
          <w:spacing w:val="-6"/>
        </w:rPr>
        <w:t>（一）依法依规开展公开事项，确保工作有序统一。</w:t>
      </w:r>
      <w:r>
        <w:rPr>
          <w:rFonts w:hint="eastAsia"/>
          <w:b/>
          <w:bCs/>
          <w:spacing w:val="-6"/>
        </w:rPr>
        <w:t>一是</w:t>
      </w:r>
      <w:r>
        <w:rPr>
          <w:rFonts w:hint="eastAsia"/>
          <w:spacing w:val="-6"/>
        </w:rPr>
        <w:t>组织开展办事指南栏目规范化建设。组织关区业务部门梳理对外办事服务项目，全面统一规范格式。</w:t>
      </w:r>
      <w:r>
        <w:rPr>
          <w:rFonts w:hint="eastAsia"/>
          <w:b/>
          <w:bCs/>
          <w:spacing w:val="-6"/>
        </w:rPr>
        <w:t>二是</w:t>
      </w:r>
      <w:r>
        <w:rPr>
          <w:rFonts w:hint="eastAsia"/>
          <w:spacing w:val="-6"/>
        </w:rPr>
        <w:t>严格开展网站发布内容审核检查工作。每季度均对网站开展扫描检查，及时通报问题情况。</w:t>
      </w:r>
      <w:r>
        <w:rPr>
          <w:rFonts w:hint="eastAsia"/>
          <w:b/>
          <w:bCs/>
          <w:spacing w:val="-6"/>
        </w:rPr>
        <w:t>三是</w:t>
      </w:r>
      <w:r>
        <w:rPr>
          <w:rFonts w:hint="eastAsia"/>
          <w:spacing w:val="-6"/>
        </w:rPr>
        <w:t>优化网站栏目设置与展示。规范</w:t>
      </w:r>
      <w:r>
        <w:rPr>
          <w:spacing w:val="-6"/>
        </w:rPr>
        <w:t>完善</w:t>
      </w:r>
      <w:r>
        <w:rPr>
          <w:rFonts w:hint="eastAsia"/>
          <w:spacing w:val="-6"/>
        </w:rPr>
        <w:t>政府信息公开专栏版式，建立网站热点栏目专栏。</w:t>
      </w:r>
      <w:r>
        <w:rPr>
          <w:rFonts w:hint="eastAsia"/>
          <w:b/>
          <w:bCs/>
          <w:spacing w:val="-6"/>
        </w:rPr>
        <w:t>四是</w:t>
      </w:r>
      <w:r>
        <w:rPr>
          <w:rFonts w:hint="eastAsia"/>
          <w:spacing w:val="-6"/>
        </w:rPr>
        <w:t>持续做好重大节日</w:t>
      </w:r>
      <w:r>
        <w:rPr>
          <w:spacing w:val="-6"/>
        </w:rPr>
        <w:t>、会议、活动期间的</w:t>
      </w:r>
      <w:r>
        <w:rPr>
          <w:rFonts w:hint="eastAsia"/>
          <w:spacing w:val="-6"/>
        </w:rPr>
        <w:t>网站安全防护巡查工作。2021年重庆海关互联网网站发布各类信息1378条，较上年同期发布数量</w:t>
      </w:r>
      <w:r>
        <w:rPr>
          <w:spacing w:val="-6"/>
        </w:rPr>
        <w:t>增长</w:t>
      </w:r>
      <w:r>
        <w:rPr>
          <w:rFonts w:hint="eastAsia"/>
          <w:spacing w:val="-6"/>
        </w:rPr>
        <w:t>10%，发布在线调查问卷6期，办理各类留言咨询175件。</w:t>
      </w:r>
      <w:r>
        <w:rPr>
          <w:rFonts w:hint="eastAsia"/>
          <w:b/>
          <w:bCs/>
          <w:spacing w:val="-6"/>
        </w:rPr>
        <w:t>五是</w:t>
      </w:r>
      <w:r>
        <w:rPr>
          <w:rFonts w:hint="eastAsia"/>
          <w:spacing w:val="-6"/>
        </w:rPr>
        <w:t>完成</w:t>
      </w:r>
      <w:r>
        <w:rPr>
          <w:spacing w:val="-6"/>
        </w:rPr>
        <w:t>政府信息公开目录升级上线。</w:t>
      </w:r>
      <w:r>
        <w:rPr>
          <w:rFonts w:hint="eastAsia"/>
          <w:spacing w:val="-6"/>
        </w:rPr>
        <w:t>2021年编制政务公开目录信息33条。</w:t>
      </w:r>
      <w:r>
        <w:rPr>
          <w:rFonts w:hint="eastAsia"/>
          <w:b/>
          <w:bCs/>
          <w:spacing w:val="-6"/>
        </w:rPr>
        <w:t>六是</w:t>
      </w:r>
      <w:r>
        <w:rPr>
          <w:rFonts w:hint="eastAsia"/>
          <w:spacing w:val="-6"/>
        </w:rPr>
        <w:t>规范办理重庆海关关区受理的</w:t>
      </w:r>
      <w:r>
        <w:rPr>
          <w:spacing w:val="-20"/>
        </w:rPr>
        <w:t>政府信息依申请公开</w:t>
      </w:r>
      <w:r>
        <w:rPr>
          <w:rFonts w:hint="eastAsia"/>
          <w:spacing w:val="-20"/>
        </w:rPr>
        <w:t>9</w:t>
      </w:r>
      <w:r>
        <w:rPr>
          <w:spacing w:val="-20"/>
        </w:rPr>
        <w:t>件</w:t>
      </w:r>
      <w:r>
        <w:rPr>
          <w:rFonts w:hint="eastAsia"/>
          <w:spacing w:val="-20"/>
        </w:rPr>
        <w:t>。未收到依申请公开投诉。</w:t>
      </w:r>
    </w:p>
    <w:p>
      <w:pPr>
        <w:pStyle w:val="46"/>
        <w:ind w:firstLineChars="150" w:firstLine="462"/>
        <w:rPr>
          <w:spacing w:val="-6"/>
        </w:rPr>
      </w:pPr>
      <w:r>
        <w:rPr>
          <w:rFonts w:ascii="方正楷体_GBK" w:eastAsia="方正楷体_GBK" w:hint="eastAsia"/>
          <w:b/>
          <w:spacing w:val="-6"/>
        </w:rPr>
        <w:t>（二）及时建立完善责任清单，全面落实各项工作任务。</w:t>
      </w:r>
      <w:r>
        <w:rPr>
          <w:rFonts w:hint="eastAsia"/>
          <w:b/>
          <w:bCs/>
          <w:spacing w:val="-6"/>
        </w:rPr>
        <w:t>一是</w:t>
      </w:r>
      <w:r>
        <w:rPr>
          <w:spacing w:val="-6"/>
        </w:rPr>
        <w:t>制定</w:t>
      </w:r>
      <w:r>
        <w:rPr>
          <w:rFonts w:hint="eastAsia"/>
          <w:spacing w:val="-6"/>
        </w:rPr>
        <w:t>并公开</w:t>
      </w:r>
      <w:r>
        <w:rPr>
          <w:spacing w:val="-6"/>
        </w:rPr>
        <w:t>《2021年</w:t>
      </w:r>
      <w:r>
        <w:rPr>
          <w:rFonts w:hint="eastAsia"/>
          <w:spacing w:val="-6"/>
        </w:rPr>
        <w:t>重庆</w:t>
      </w:r>
      <w:r>
        <w:rPr>
          <w:spacing w:val="-6"/>
        </w:rPr>
        <w:t>海关政务公开工作要点》，围绕基层政务公开标准化、政策文件宣传解读等</w:t>
      </w:r>
      <w:r>
        <w:rPr>
          <w:rFonts w:hint="eastAsia"/>
          <w:spacing w:val="-6"/>
        </w:rPr>
        <w:t>工作</w:t>
      </w:r>
      <w:r>
        <w:rPr>
          <w:spacing w:val="-6"/>
        </w:rPr>
        <w:t>提出4</w:t>
      </w:r>
      <w:r>
        <w:rPr>
          <w:rFonts w:hint="eastAsia"/>
          <w:spacing w:val="-6"/>
        </w:rPr>
        <w:t>个方面、15</w:t>
      </w:r>
      <w:r>
        <w:rPr>
          <w:spacing w:val="-6"/>
        </w:rPr>
        <w:t>项年度重点任务。</w:t>
      </w:r>
      <w:r>
        <w:rPr>
          <w:rFonts w:hint="eastAsia"/>
          <w:b/>
          <w:bCs/>
          <w:spacing w:val="-6"/>
        </w:rPr>
        <w:t>二是</w:t>
      </w:r>
      <w:r>
        <w:rPr>
          <w:rFonts w:hint="eastAsia"/>
          <w:spacing w:val="-6"/>
        </w:rPr>
        <w:t>修订并公开《重庆海关主动公开基本目录（2021年版）》，围绕关区主动公开内容，梳理网站主动公开栏目</w:t>
      </w:r>
      <w:r>
        <w:rPr>
          <w:spacing w:val="-6"/>
        </w:rPr>
        <w:t>5</w:t>
      </w:r>
      <w:r>
        <w:rPr>
          <w:rFonts w:hint="eastAsia"/>
          <w:spacing w:val="-6"/>
        </w:rPr>
        <w:t>个大类</w:t>
      </w:r>
      <w:r>
        <w:rPr>
          <w:spacing w:val="-6"/>
        </w:rPr>
        <w:t>、</w:t>
      </w:r>
      <w:r>
        <w:rPr>
          <w:rFonts w:hint="eastAsia"/>
          <w:spacing w:val="-6"/>
        </w:rPr>
        <w:t>8个一级菜单和26个二级菜单栏目，明确公开责任主体和公开时限等要求。</w:t>
      </w:r>
    </w:p>
    <w:p>
      <w:pPr>
        <w:pStyle w:val="46"/>
        <w:ind w:firstLineChars="150" w:firstLine="462"/>
        <w:rPr>
          <w:spacing w:val="-6"/>
        </w:rPr>
      </w:pPr>
      <w:r>
        <w:rPr>
          <w:rFonts w:ascii="方正楷体_GBK" w:eastAsia="方正楷体_GBK" w:hint="eastAsia"/>
          <w:b/>
          <w:spacing w:val="-6"/>
        </w:rPr>
        <w:t>（三）强化公开指导检查督促，建立健全长效机制。</w:t>
      </w:r>
      <w:r>
        <w:rPr>
          <w:rFonts w:hint="eastAsia"/>
          <w:b/>
          <w:bCs/>
          <w:spacing w:val="-6"/>
        </w:rPr>
        <w:t>一</w:t>
      </w:r>
      <w:r>
        <w:rPr>
          <w:b/>
          <w:bCs/>
          <w:spacing w:val="-6"/>
        </w:rPr>
        <w:t>是</w:t>
      </w:r>
      <w:r>
        <w:rPr>
          <w:spacing w:val="-6"/>
        </w:rPr>
        <w:t>完善</w:t>
      </w:r>
      <w:r>
        <w:rPr>
          <w:rFonts w:hint="eastAsia"/>
          <w:spacing w:val="-6"/>
        </w:rPr>
        <w:t>关区政务公开</w:t>
      </w:r>
      <w:r>
        <w:rPr>
          <w:spacing w:val="-6"/>
        </w:rPr>
        <w:t>工作机制。联合</w:t>
      </w:r>
      <w:r>
        <w:rPr>
          <w:rFonts w:hint="eastAsia"/>
          <w:spacing w:val="-6"/>
        </w:rPr>
        <w:t>职能处室统一公开关区现行有效规范性文件和行政执法年报；指导责任部门和隶属海关规范预决算信息和行政处罚信息的对外公开；定期</w:t>
      </w:r>
      <w:r>
        <w:rPr>
          <w:spacing w:val="-6"/>
        </w:rPr>
        <w:t>开展</w:t>
      </w:r>
      <w:r>
        <w:rPr>
          <w:rFonts w:hint="eastAsia"/>
          <w:spacing w:val="-6"/>
        </w:rPr>
        <w:t>关区</w:t>
      </w:r>
      <w:r>
        <w:rPr>
          <w:spacing w:val="-6"/>
        </w:rPr>
        <w:t>政务公开工作</w:t>
      </w:r>
      <w:r>
        <w:rPr>
          <w:rFonts w:hint="eastAsia"/>
          <w:spacing w:val="-6"/>
        </w:rPr>
        <w:t>情况调度，指导各隶属海关深入做好海关政策公开和解读。</w:t>
      </w:r>
      <w:r>
        <w:rPr>
          <w:rFonts w:hint="eastAsia"/>
          <w:b/>
          <w:bCs/>
          <w:spacing w:val="-6"/>
        </w:rPr>
        <w:t>二是</w:t>
      </w:r>
      <w:r>
        <w:rPr>
          <w:spacing w:val="-6"/>
        </w:rPr>
        <w:t>协调并联合</w:t>
      </w:r>
      <w:r>
        <w:rPr>
          <w:rFonts w:hint="eastAsia"/>
          <w:spacing w:val="-6"/>
        </w:rPr>
        <w:t>关区职能处室，开展部分隶属海关政务公开条例培训。</w:t>
      </w:r>
      <w:r>
        <w:rPr>
          <w:rFonts w:hint="eastAsia"/>
          <w:b/>
          <w:bCs/>
          <w:spacing w:val="-6"/>
        </w:rPr>
        <w:t>三是</w:t>
      </w:r>
      <w:r>
        <w:rPr>
          <w:rFonts w:hint="eastAsia"/>
          <w:spacing w:val="-6"/>
        </w:rPr>
        <w:t>组织并指导有条件的隶属海关</w:t>
      </w:r>
      <w:r>
        <w:rPr>
          <w:rFonts w:ascii="方正仿宋_GBK" w:hint="eastAsia"/>
          <w:color w:val="000000"/>
          <w:szCs w:val="32"/>
        </w:rPr>
        <w:t>设立综合咨询服务窗口，提升政策服务现场响应和处理能力，提升企业</w:t>
      </w:r>
      <w:r>
        <w:rPr>
          <w:rFonts w:ascii="方正仿宋_GBK"/>
          <w:color w:val="000000"/>
          <w:szCs w:val="32"/>
        </w:rPr>
        <w:t>和</w:t>
      </w:r>
      <w:r>
        <w:rPr>
          <w:rFonts w:ascii="方正仿宋_GBK" w:hint="eastAsia"/>
          <w:color w:val="000000"/>
          <w:szCs w:val="32"/>
        </w:rPr>
        <w:t>群众的获得感。</w:t>
      </w:r>
    </w:p>
    <w:p>
      <w:pPr>
        <w:pStyle w:val="46"/>
        <w:ind w:firstLineChars="150" w:firstLine="462"/>
        <w:rPr>
          <w:spacing w:val="-6"/>
        </w:rPr>
      </w:pPr>
      <w:r>
        <w:rPr>
          <w:rFonts w:ascii="方正楷体_GBK" w:eastAsia="方正楷体_GBK" w:hint="eastAsia"/>
          <w:b/>
          <w:spacing w:val="-6"/>
        </w:rPr>
        <w:t>（四）探索隶属海关政务公开标准化，不断夯实工作基础。</w:t>
      </w:r>
      <w:r>
        <w:rPr>
          <w:rFonts w:hint="eastAsia"/>
          <w:b/>
          <w:bCs/>
          <w:spacing w:val="-6"/>
        </w:rPr>
        <w:t>一是</w:t>
      </w:r>
      <w:r>
        <w:rPr>
          <w:rFonts w:hint="eastAsia"/>
          <w:spacing w:val="-6"/>
        </w:rPr>
        <w:t>积极参与海关总署</w:t>
      </w:r>
      <w:r>
        <w:rPr>
          <w:spacing w:val="-6"/>
        </w:rPr>
        <w:t>开展的基层海关政务公开调研</w:t>
      </w:r>
      <w:r>
        <w:rPr>
          <w:rFonts w:hint="eastAsia"/>
          <w:spacing w:val="-6"/>
        </w:rPr>
        <w:t>。精心选取所属西永海关和两江海关作为</w:t>
      </w:r>
      <w:r>
        <w:rPr>
          <w:spacing w:val="-6"/>
        </w:rPr>
        <w:t>海关</w:t>
      </w:r>
      <w:r>
        <w:rPr>
          <w:rFonts w:hint="eastAsia"/>
          <w:spacing w:val="-6"/>
        </w:rPr>
        <w:t>总署摸清基层政务公开现状的重点隶属海关</w:t>
      </w:r>
      <w:r>
        <w:rPr>
          <w:spacing w:val="-6"/>
        </w:rPr>
        <w:t>，通过现场访谈、网上问卷、电话调研等方式对</w:t>
      </w:r>
      <w:r>
        <w:rPr>
          <w:rFonts w:hint="eastAsia"/>
          <w:spacing w:val="-6"/>
        </w:rPr>
        <w:t>辖区</w:t>
      </w:r>
      <w:r>
        <w:rPr>
          <w:spacing w:val="-6"/>
        </w:rPr>
        <w:t>100</w:t>
      </w:r>
      <w:r>
        <w:rPr>
          <w:rFonts w:hint="eastAsia"/>
          <w:spacing w:val="-6"/>
        </w:rPr>
        <w:t>余家企业和近半数</w:t>
      </w:r>
      <w:r>
        <w:rPr>
          <w:spacing w:val="-6"/>
        </w:rPr>
        <w:t>关员开展问卷调查。</w:t>
      </w:r>
      <w:r>
        <w:rPr>
          <w:rFonts w:hint="eastAsia"/>
          <w:b/>
          <w:bCs/>
          <w:spacing w:val="-6"/>
        </w:rPr>
        <w:t>二是</w:t>
      </w:r>
      <w:r>
        <w:rPr>
          <w:rFonts w:hint="eastAsia"/>
          <w:spacing w:val="-6"/>
        </w:rPr>
        <w:t>及时提炼</w:t>
      </w:r>
      <w:r>
        <w:rPr>
          <w:spacing w:val="-6"/>
        </w:rPr>
        <w:t>并</w:t>
      </w:r>
      <w:r>
        <w:rPr>
          <w:rFonts w:hint="eastAsia"/>
          <w:spacing w:val="-6"/>
        </w:rPr>
        <w:t>形成有复制</w:t>
      </w:r>
      <w:r>
        <w:rPr>
          <w:spacing w:val="-6"/>
        </w:rPr>
        <w:t>和推广价值</w:t>
      </w:r>
      <w:r>
        <w:rPr>
          <w:rFonts w:hint="eastAsia"/>
          <w:spacing w:val="-6"/>
        </w:rPr>
        <w:t>的政务公开标准化成果。组织重点调研的两个隶属海关先行探索，编写基层海关政务公开标准化手册，固化成果经验。</w:t>
      </w:r>
    </w:p>
    <w:p>
      <w:pPr>
        <w:pStyle w:val="46"/>
        <w:ind w:firstLineChars="149" w:firstLine="459"/>
        <w:rPr>
          <w:spacing w:val="-6"/>
        </w:rPr>
      </w:pPr>
      <w:r>
        <w:rPr>
          <w:rFonts w:ascii="方正楷体_GBK" w:eastAsia="方正楷体_GBK" w:hint="eastAsia"/>
          <w:b/>
          <w:spacing w:val="-6"/>
        </w:rPr>
        <w:t>（五）提升政务新媒体运营水平，发挥</w:t>
      </w:r>
      <w:r>
        <w:rPr>
          <w:rFonts w:ascii="方正楷体_GBK" w:eastAsia="方正楷体_GBK"/>
          <w:b/>
          <w:spacing w:val="-6"/>
        </w:rPr>
        <w:t>政务</w:t>
      </w:r>
      <w:r>
        <w:rPr>
          <w:rFonts w:ascii="方正楷体_GBK" w:eastAsia="方正楷体_GBK" w:hint="eastAsia"/>
          <w:b/>
          <w:spacing w:val="-6"/>
        </w:rPr>
        <w:t>公开“第二阵地”作用。</w:t>
      </w:r>
      <w:r>
        <w:rPr>
          <w:rFonts w:hint="eastAsia"/>
          <w:spacing w:val="-6"/>
        </w:rPr>
        <w:t>充分</w:t>
      </w:r>
      <w:r>
        <w:rPr>
          <w:spacing w:val="-6"/>
        </w:rPr>
        <w:t>运用</w:t>
      </w:r>
      <w:r>
        <w:rPr>
          <w:rFonts w:hint="eastAsia"/>
          <w:spacing w:val="-6"/>
        </w:rPr>
        <w:t>新媒体传播优势，</w:t>
      </w:r>
      <w:r>
        <w:rPr>
          <w:spacing w:val="-6"/>
        </w:rPr>
        <w:t>持续畅通</w:t>
      </w:r>
      <w:r>
        <w:rPr>
          <w:rFonts w:hint="eastAsia"/>
          <w:spacing w:val="-6"/>
        </w:rPr>
        <w:t>政务新媒体</w:t>
      </w:r>
      <w:r>
        <w:rPr>
          <w:spacing w:val="-6"/>
        </w:rPr>
        <w:t>互动交流</w:t>
      </w:r>
      <w:r>
        <w:rPr>
          <w:rFonts w:hint="eastAsia"/>
          <w:spacing w:val="-6"/>
        </w:rPr>
        <w:t>，不断擦亮重庆海关“微客服”服务品牌，全年在线答复各类咨询400余人次，</w:t>
      </w:r>
      <w:r>
        <w:rPr>
          <w:rFonts w:hint="eastAsia"/>
          <w:spacing w:val="-20"/>
          <w:szCs w:val="32"/>
        </w:rPr>
        <w:t>12360热线回复来电咨询14119次</w:t>
      </w:r>
      <w:r>
        <w:rPr>
          <w:rFonts w:hint="eastAsia"/>
          <w:spacing w:val="-6"/>
        </w:rPr>
        <w:t>。2021年“重庆海关发布”新媒体</w:t>
      </w:r>
      <w:r>
        <w:rPr>
          <w:spacing w:val="-6"/>
        </w:rPr>
        <w:t>推送</w:t>
      </w:r>
      <w:r>
        <w:rPr>
          <w:rFonts w:hint="eastAsia"/>
          <w:spacing w:val="-6"/>
        </w:rPr>
        <w:t>政策解读等稿件168期、265篇；持续打造关区精品品牌栏目，已建立“渝关技贸之声”、“关税新知”、“自贸在线”和“图说海关数据”、“热线热点问题”等政策解读品牌栏目13个。</w:t>
      </w:r>
    </w:p>
    <w:p>
      <w:pPr>
        <w:pStyle w:val="39"/>
        <w:adjustRightInd w:val="0"/>
        <w:snapToGrid w:val="0"/>
        <w:spacing w:beforeLines="50" w:before="218" w:afterLines="50" w:after="218"/>
        <w:ind w:firstLineChars="200" w:firstLine="624"/>
        <w:rPr>
          <w:rFonts w:ascii="方正黑体_GBK" w:eastAsia="方正黑体_GBK" w:cs="楷体_GB2312"/>
          <w:bCs/>
          <w:szCs w:val="32"/>
          <w:shd w:val="clear" w:color="auto" w:fill="FFFFFF"/>
        </w:rPr>
      </w:pPr>
      <w:r>
        <w:rPr>
          <w:rFonts w:ascii="方正黑体_GBK" w:eastAsia="方正黑体_GBK" w:cs="楷体_GB2312" w:hint="eastAsia"/>
          <w:bCs/>
          <w:szCs w:val="32"/>
          <w:shd w:val="clear" w:color="auto" w:fill="FFFFFF"/>
        </w:rPr>
        <w:t>二、主动公开政府信息情况</w:t>
      </w:r>
    </w:p>
    <w:tbl>
      <w:tblPr>
        <w:jc w:val="center"/>
        <w:tblW w:w="899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vAlign w:val="center"/>
          </w:tcPr>
          <w:p>
            <w:pPr>
              <w:pStyle w:val="34"/>
              <w:widowControl/>
              <w:jc w:val="center"/>
              <w:rPr>
                <w:sz w:val="24"/>
                <w:szCs w:val="24"/>
              </w:rPr>
            </w:pPr>
            <w:r>
              <w:rPr>
                <w:rFonts w:ascii="宋体" w:cs="宋体" w:hint="eastAsia"/>
                <w:kern w:val="0"/>
                <w:sz w:val="24"/>
                <w:szCs w:val="24"/>
              </w:rPr>
              <w:t>第二十条第（一）项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34"/>
              <w:widowControl/>
              <w:jc w:val="center"/>
              <w:rPr>
                <w:sz w:val="24"/>
                <w:szCs w:val="24"/>
              </w:rPr>
            </w:pPr>
            <w:r>
              <w:rPr>
                <w:rFonts w:ascii="宋体" w:cs="宋体" w:hint="eastAsia"/>
                <w:kern w:val="0"/>
                <w:sz w:val="24"/>
                <w:szCs w:val="24"/>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rPr>
                <w:sz w:val="24"/>
                <w:szCs w:val="24"/>
              </w:rPr>
            </w:pPr>
            <w:r>
              <w:rPr>
                <w:rFonts w:ascii="宋体" w:cs="宋体" w:hint="eastAsia"/>
                <w:kern w:val="0"/>
                <w:sz w:val="24"/>
                <w:szCs w:val="24"/>
              </w:rPr>
              <w:t>本年</w:t>
            </w:r>
            <w:r>
              <w:rPr>
                <w:kern w:val="0"/>
                <w:sz w:val="24"/>
                <w:szCs w:val="24"/>
              </w:rPr>
              <w:t>制发件数</w:t>
            </w:r>
          </w:p>
        </w:tc>
        <w:tc>
          <w:tcPr>
            <w:tcW w:w="193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rPr>
                <w:sz w:val="24"/>
                <w:szCs w:val="24"/>
              </w:rPr>
            </w:pPr>
            <w:r>
              <w:rPr>
                <w:rFonts w:ascii="宋体" w:cs="宋体" w:hint="eastAsia"/>
                <w:kern w:val="0"/>
                <w:sz w:val="24"/>
                <w:szCs w:val="24"/>
              </w:rPr>
              <w:t>本年废止件</w:t>
            </w:r>
            <w:r>
              <w:rPr>
                <w:kern w:val="0"/>
                <w:sz w:val="24"/>
                <w:szCs w:val="24"/>
              </w:rPr>
              <w:t>数</w:t>
            </w:r>
          </w:p>
        </w:tc>
        <w:tc>
          <w:tcPr>
            <w:tcW w:w="2156" w:type="dxa"/>
            <w:tcBorders>
              <w:top w:val="nil"/>
              <w:left w:val="nil"/>
              <w:bottom w:val="single" w:sz="8" w:space="0" w:color="auto"/>
              <w:right w:val="single" w:sz="8" w:space="0" w:color="auto"/>
            </w:tcBorders>
            <w:shd w:val="clear" w:color="auto" w:fill="auto"/>
            <w:vAlign w:val="center"/>
          </w:tcPr>
          <w:p>
            <w:pPr>
              <w:pStyle w:val="34"/>
              <w:widowControl/>
              <w:jc w:val="center"/>
              <w:rPr>
                <w:sz w:val="24"/>
                <w:szCs w:val="24"/>
              </w:rPr>
            </w:pPr>
            <w:r>
              <w:rPr>
                <w:rFonts w:ascii="宋体" w:cs="宋体" w:hint="eastAsia"/>
                <w:kern w:val="0"/>
                <w:sz w:val="24"/>
                <w:szCs w:val="24"/>
              </w:rPr>
              <w:t>现行有效件数</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34"/>
              <w:widowControl/>
              <w:adjustRightInd w:val="0"/>
              <w:snapToGrid w:val="0"/>
              <w:spacing w:line="260" w:lineRule="exact"/>
              <w:jc w:val="center"/>
              <w:rPr>
                <w:sz w:val="24"/>
                <w:szCs w:val="24"/>
              </w:rPr>
            </w:pPr>
            <w:r>
              <w:rPr>
                <w:rFonts w:ascii="宋体" w:cs="宋体" w:hint="eastAsia"/>
                <w:kern w:val="0"/>
                <w:sz w:val="24"/>
                <w:szCs w:val="24"/>
              </w:rPr>
              <w:t>规章</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2156" w:type="dxa"/>
            <w:tcBorders>
              <w:top w:val="nil"/>
              <w:left w:val="nil"/>
              <w:bottom w:val="single" w:sz="8" w:space="0" w:color="auto"/>
              <w:right w:val="single" w:sz="8"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0</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34"/>
              <w:widowControl/>
              <w:adjustRightInd w:val="0"/>
              <w:snapToGrid w:val="0"/>
              <w:spacing w:line="260" w:lineRule="exact"/>
              <w:jc w:val="center"/>
              <w:rPr>
                <w:sz w:val="24"/>
                <w:szCs w:val="24"/>
              </w:rPr>
            </w:pPr>
            <w:r>
              <w:rPr>
                <w:rFonts w:ascii="宋体" w:cs="宋体" w:hint="eastAsia"/>
                <w:kern w:val="0"/>
                <w:sz w:val="24"/>
                <w:szCs w:val="24"/>
              </w:rPr>
              <w:t>行政规范性文件</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1</w:t>
            </w:r>
          </w:p>
        </w:tc>
        <w:tc>
          <w:tcPr>
            <w:tcW w:w="2156" w:type="dxa"/>
            <w:tcBorders>
              <w:top w:val="nil"/>
              <w:left w:val="nil"/>
              <w:bottom w:val="single" w:sz="8" w:space="0" w:color="auto"/>
              <w:right w:val="single" w:sz="8"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15</w:t>
            </w:r>
          </w:p>
        </w:tc>
      </w:tr>
      <w:tr>
        <w:trPr>
          <w:trHeight w:val="435"/>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34"/>
              <w:widowControl/>
              <w:jc w:val="center"/>
              <w:rPr>
                <w:sz w:val="24"/>
                <w:szCs w:val="24"/>
              </w:rPr>
            </w:pPr>
            <w:r>
              <w:rPr>
                <w:rFonts w:ascii="宋体" w:cs="宋体" w:hint="eastAsia"/>
                <w:kern w:val="0"/>
                <w:sz w:val="24"/>
                <w:szCs w:val="24"/>
              </w:rPr>
              <w:t>第二十条第（五）项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34"/>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58"/>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34"/>
              <w:widowControl/>
              <w:adjustRightInd w:val="0"/>
              <w:snapToGrid w:val="0"/>
              <w:spacing w:line="260" w:lineRule="exact"/>
              <w:jc w:val="center"/>
              <w:rPr>
                <w:sz w:val="24"/>
                <w:szCs w:val="24"/>
              </w:rPr>
            </w:pPr>
            <w:r>
              <w:rPr>
                <w:rFonts w:ascii="宋体" w:cs="宋体" w:hint="eastAsia"/>
                <w:kern w:val="0"/>
                <w:sz w:val="24"/>
                <w:szCs w:val="24"/>
              </w:rPr>
              <w:t>行政许可</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cs="宋体"/>
                <w:sz w:val="24"/>
                <w:szCs w:val="24"/>
              </w:rPr>
            </w:pPr>
            <w:r>
              <w:rPr>
                <w:rFonts w:eastAsia="方正仿宋_GBK"/>
                <w:sz w:val="24"/>
                <w:szCs w:val="24"/>
              </w:rPr>
              <w:t>663</w:t>
            </w:r>
          </w:p>
        </w:tc>
      </w:tr>
      <w:tr>
        <w:trPr>
          <w:trHeight w:val="406"/>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34"/>
              <w:widowControl/>
              <w:jc w:val="center"/>
              <w:rPr>
                <w:sz w:val="24"/>
                <w:szCs w:val="24"/>
              </w:rPr>
            </w:pPr>
            <w:r>
              <w:rPr>
                <w:rFonts w:ascii="宋体" w:cs="宋体" w:hint="eastAsia"/>
                <w:kern w:val="0"/>
                <w:sz w:val="24"/>
                <w:szCs w:val="24"/>
              </w:rPr>
              <w:t>第二十条第（六）项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34"/>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61"/>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34"/>
              <w:widowControl/>
              <w:adjustRightInd w:val="0"/>
              <w:snapToGrid w:val="0"/>
              <w:spacing w:line="260" w:lineRule="exact"/>
              <w:jc w:val="center"/>
              <w:rPr>
                <w:sz w:val="24"/>
                <w:szCs w:val="24"/>
              </w:rPr>
            </w:pPr>
            <w:r>
              <w:rPr>
                <w:rFonts w:ascii="宋体" w:cs="宋体" w:hint="eastAsia"/>
                <w:kern w:val="0"/>
                <w:sz w:val="24"/>
                <w:szCs w:val="24"/>
              </w:rPr>
              <w:t>行政处罚</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395</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34"/>
              <w:widowControl/>
              <w:adjustRightInd w:val="0"/>
              <w:snapToGrid w:val="0"/>
              <w:spacing w:line="260" w:lineRule="exact"/>
              <w:jc w:val="center"/>
              <w:rPr>
                <w:sz w:val="24"/>
                <w:szCs w:val="24"/>
              </w:rPr>
            </w:pPr>
            <w:r>
              <w:rPr>
                <w:rFonts w:ascii="宋体" w:cs="宋体" w:hint="eastAsia"/>
                <w:kern w:val="0"/>
                <w:sz w:val="24"/>
                <w:szCs w:val="24"/>
              </w:rPr>
              <w:t>行政强制</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65</w:t>
            </w:r>
          </w:p>
        </w:tc>
      </w:tr>
      <w:tr>
        <w:trPr>
          <w:trHeight w:val="474"/>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34"/>
              <w:widowControl/>
              <w:jc w:val="center"/>
              <w:rPr>
                <w:sz w:val="24"/>
                <w:szCs w:val="24"/>
              </w:rPr>
            </w:pPr>
            <w:r>
              <w:rPr>
                <w:rFonts w:ascii="宋体" w:cs="宋体" w:hint="eastAsia"/>
                <w:kern w:val="0"/>
                <w:sz w:val="24"/>
                <w:szCs w:val="24"/>
              </w:rPr>
              <w:t>第二十条第（八）项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34"/>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pPr>
              <w:pStyle w:val="65"/>
              <w:widowControl/>
              <w:adjustRightInd w:val="0"/>
              <w:snapToGrid w:val="0"/>
              <w:spacing w:line="260" w:lineRule="exact"/>
              <w:jc w:val="center"/>
              <w:rPr>
                <w:sz w:val="24"/>
                <w:szCs w:val="24"/>
              </w:rPr>
            </w:pPr>
            <w:r>
              <w:rPr>
                <w:rFonts w:ascii="宋体" w:cs="宋体" w:hint="eastAsia"/>
                <w:kern w:val="0"/>
                <w:sz w:val="24"/>
                <w:szCs w:val="24"/>
              </w:rPr>
              <w:t>本年收费金额（单位：万元）</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34"/>
              <w:widowControl/>
              <w:adjustRightInd w:val="0"/>
              <w:snapToGrid w:val="0"/>
              <w:spacing w:line="260" w:lineRule="exact"/>
              <w:jc w:val="center"/>
            </w:pPr>
            <w:r>
              <w:rPr>
                <w:rFonts w:ascii="宋体" w:cs="宋体" w:hint="eastAsia"/>
                <w:kern w:val="0"/>
                <w:sz w:val="24"/>
                <w:szCs w:val="24"/>
              </w:rPr>
              <w:t>行政事业性收费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pPr>
              <w:pStyle w:val="34"/>
              <w:jc w:val="center"/>
              <w:rPr>
                <w:rFonts w:eastAsia="方正仿宋_GBK" w:cs="宋体"/>
                <w:sz w:val="24"/>
                <w:szCs w:val="24"/>
              </w:rPr>
            </w:pPr>
            <w:r>
              <w:rPr>
                <w:rFonts w:eastAsia="方正仿宋_GBK" w:cs="宋体" w:hint="eastAsia"/>
                <w:sz w:val="24"/>
                <w:szCs w:val="24"/>
              </w:rPr>
              <w:t>0</w:t>
            </w:r>
          </w:p>
        </w:tc>
      </w:tr>
    </w:tbl>
    <w:p>
      <w:pPr>
        <w:pStyle w:val="16"/>
        <w:tabs>
          <w:tab w:val="center" w:pos="4153"/>
          <w:tab w:val="right" w:pos="8306"/>
        </w:tabs>
      </w:pPr>
    </w:p>
    <w:p>
      <w:pPr>
        <w:pStyle w:val="31"/>
        <w:widowControl/>
        <w:shd w:val="clear" w:color="auto" w:fill="FFFFFF"/>
        <w:adjustRightInd w:val="0"/>
        <w:snapToGrid w:val="0"/>
        <w:spacing w:beforeAutospacing="0" w:afterLines="50" w:after="218"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pStyle w:val="34"/>
              <w:widowControl/>
              <w:jc w:val="center"/>
            </w:pPr>
            <w:r>
              <w:rPr>
                <w:rFonts w:ascii="宋体" w:cs="宋体" w:hint="eastAsia"/>
                <w:kern w:val="0"/>
                <w:sz w:val="20"/>
                <w:szCs w:val="20"/>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pPr>
            <w:r>
              <w:rPr>
                <w:rFonts w:ascii="宋体" w:cs="宋体" w:hint="eastAsia"/>
                <w:kern w:val="0"/>
                <w:sz w:val="20"/>
                <w:szCs w:val="20"/>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35"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pPr>
            <w:r>
              <w:rPr>
                <w:rFonts w:ascii="宋体" w:cs="宋体" w:hint="eastAsia"/>
                <w:kern w:val="0"/>
                <w:sz w:val="20"/>
                <w:szCs w:val="20"/>
              </w:rPr>
              <w:t>自然人</w:t>
            </w:r>
          </w:p>
        </w:tc>
        <w:tc>
          <w:tcPr>
            <w:tcW w:w="3452"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pPr>
            <w:r>
              <w:rPr>
                <w:rFonts w:ascii="宋体" w:cs="宋体" w:hint="eastAsia"/>
                <w:kern w:val="0"/>
                <w:sz w:val="20"/>
                <w:szCs w:val="20"/>
              </w:rPr>
              <w:t>法人或其他组织</w:t>
            </w:r>
          </w:p>
        </w:tc>
        <w:tc>
          <w:tcPr>
            <w:tcW w:w="682"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pPr>
            <w:r>
              <w:rPr>
                <w:rFonts w:ascii="宋体" w:cs="宋体" w:hint="eastAsia"/>
                <w:kern w:val="0"/>
                <w:sz w:val="20"/>
                <w:szCs w:val="20"/>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35"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pPr>
            <w:r>
              <w:rPr>
                <w:rFonts w:ascii="宋体" w:cs="宋体" w:hint="eastAsia"/>
                <w:kern w:val="0"/>
                <w:sz w:val="20"/>
                <w:szCs w:val="20"/>
              </w:rPr>
              <w:t>商业企业</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pPr>
            <w:r>
              <w:rPr>
                <w:rFonts w:ascii="宋体" w:cs="宋体" w:hint="eastAsia"/>
                <w:kern w:val="0"/>
                <w:sz w:val="20"/>
                <w:szCs w:val="20"/>
              </w:rPr>
              <w:t>科研机构</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pPr>
            <w:r>
              <w:rPr>
                <w:rFonts w:ascii="宋体" w:cs="宋体" w:hint="eastAsia"/>
                <w:kern w:val="0"/>
                <w:sz w:val="20"/>
                <w:szCs w:val="20"/>
              </w:rPr>
              <w:t>社会公益组织</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pPr>
            <w:r>
              <w:rPr>
                <w:rFonts w:ascii="宋体" w:cs="宋体" w:hint="eastAsia"/>
                <w:kern w:val="0"/>
                <w:sz w:val="20"/>
                <w:szCs w:val="20"/>
              </w:rPr>
              <w:t>法律服务机构</w:t>
            </w:r>
          </w:p>
        </w:tc>
        <w:tc>
          <w:tcPr>
            <w:tcW w:w="49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pPr>
            <w:r>
              <w:rPr>
                <w:rFonts w:ascii="宋体" w:cs="宋体" w:hint="eastAsia"/>
                <w:kern w:val="0"/>
                <w:sz w:val="20"/>
                <w:szCs w:val="20"/>
              </w:rPr>
              <w:t>其他</w:t>
            </w:r>
          </w:p>
        </w:tc>
        <w:tc>
          <w:tcPr>
            <w:tcW w:w="682"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pPr>
              <w:pStyle w:val="34"/>
              <w:widowControl/>
              <w:jc w:val="left"/>
              <w:rPr>
                <w:sz w:val="24"/>
                <w:szCs w:val="24"/>
              </w:rPr>
            </w:pPr>
            <w:r>
              <w:rPr>
                <w:rFonts w:ascii="宋体" w:cs="宋体" w:hint="eastAsia"/>
                <w:kern w:val="0"/>
                <w:sz w:val="24"/>
                <w:szCs w:val="24"/>
              </w:rPr>
              <w:t>一、本年新收政府信息公开申请数量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9</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9</w:t>
            </w: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pPr>
              <w:pStyle w:val="34"/>
              <w:widowControl/>
              <w:jc w:val="left"/>
              <w:rPr>
                <w:sz w:val="24"/>
                <w:szCs w:val="24"/>
              </w:rPr>
            </w:pPr>
            <w:r>
              <w:rPr>
                <w:rFonts w:ascii="宋体" w:cs="宋体" w:hint="eastAsia"/>
                <w:kern w:val="0"/>
                <w:sz w:val="24"/>
                <w:szCs w:val="24"/>
              </w:rPr>
              <w:t>二、上年结转政府信息公开申请数量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r>
      <w:tr>
        <w:tc>
          <w:tcPr>
            <w:tcW w:w="696"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34"/>
              <w:widowControl/>
              <w:jc w:val="center"/>
              <w:rPr>
                <w:sz w:val="24"/>
                <w:szCs w:val="24"/>
              </w:rPr>
            </w:pPr>
            <w:r>
              <w:rPr>
                <w:rFonts w:ascii="宋体" w:cs="宋体" w:hint="eastAsia"/>
                <w:kern w:val="0"/>
                <w:sz w:val="24"/>
                <w:szCs w:val="24"/>
              </w:rPr>
              <w:t>三、本年度办理结果</w:t>
            </w: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jc w:val="left"/>
              <w:rPr>
                <w:sz w:val="24"/>
                <w:szCs w:val="24"/>
              </w:rPr>
            </w:pPr>
            <w:r>
              <w:rPr>
                <w:rFonts w:ascii="楷体" w:eastAsia="楷体" w:cs="楷体" w:hint="eastAsia"/>
                <w:kern w:val="0"/>
                <w:sz w:val="24"/>
                <w:szCs w:val="24"/>
              </w:rPr>
              <w:t>（一）予以公开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jc w:val="left"/>
              <w:rPr>
                <w:sz w:val="24"/>
                <w:szCs w:val="24"/>
              </w:rPr>
            </w:pPr>
            <w:r>
              <w:rPr>
                <w:rFonts w:ascii="楷体" w:eastAsia="楷体" w:cs="楷体" w:hint="eastAsia"/>
                <w:kern w:val="0"/>
                <w:sz w:val="24"/>
                <w:szCs w:val="24"/>
              </w:rPr>
              <w:t>（二）部分公开（区分处理的，只计这一情形，不计其他情形）</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rPr>
                <w:sz w:val="24"/>
                <w:szCs w:val="24"/>
              </w:rPr>
            </w:pPr>
            <w:r>
              <w:rPr>
                <w:rFonts w:ascii="楷体" w:eastAsia="楷体" w:cs="楷体" w:hint="eastAsia"/>
                <w:kern w:val="0"/>
                <w:sz w:val="24"/>
                <w:szCs w:val="24"/>
              </w:rPr>
              <w:t>（三）不予公开</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rPr>
                <w:sz w:val="24"/>
                <w:szCs w:val="24"/>
              </w:rPr>
            </w:pPr>
            <w:r>
              <w:rPr>
                <w:rFonts w:ascii="楷体" w:eastAsia="楷体" w:cs="楷体" w:hint="eastAsia"/>
                <w:kern w:val="0"/>
                <w:sz w:val="24"/>
                <w:szCs w:val="24"/>
              </w:rPr>
              <w:t>1.属于国家秘密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rPr>
                <w:sz w:val="24"/>
                <w:szCs w:val="24"/>
              </w:rPr>
            </w:pPr>
            <w:r>
              <w:rPr>
                <w:rFonts w:ascii="楷体" w:eastAsia="楷体" w:cs="楷体" w:hint="eastAsia"/>
                <w:kern w:val="0"/>
                <w:sz w:val="24"/>
                <w:szCs w:val="24"/>
              </w:rPr>
              <w:t>2.其他法律行政法规禁止公开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rPr>
                <w:sz w:val="24"/>
                <w:szCs w:val="24"/>
              </w:rPr>
            </w:pPr>
            <w:r>
              <w:rPr>
                <w:rFonts w:ascii="楷体" w:eastAsia="楷体" w:cs="楷体" w:hint="eastAsia"/>
                <w:kern w:val="0"/>
                <w:sz w:val="24"/>
                <w:szCs w:val="24"/>
              </w:rPr>
              <w:t>3.危及“三安全一稳定”</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rPr>
                <w:sz w:val="24"/>
                <w:szCs w:val="24"/>
              </w:rPr>
            </w:pPr>
            <w:r>
              <w:rPr>
                <w:rFonts w:ascii="楷体" w:eastAsia="楷体" w:cs="楷体" w:hint="eastAsia"/>
                <w:kern w:val="0"/>
                <w:sz w:val="24"/>
                <w:szCs w:val="24"/>
              </w:rPr>
              <w:t>4.保护第三方合法权益</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rPr>
                <w:sz w:val="24"/>
                <w:szCs w:val="24"/>
              </w:rPr>
            </w:pPr>
            <w:r>
              <w:rPr>
                <w:rFonts w:ascii="楷体" w:eastAsia="楷体" w:cs="楷体" w:hint="eastAsia"/>
                <w:kern w:val="0"/>
                <w:sz w:val="24"/>
                <w:szCs w:val="24"/>
              </w:rPr>
              <w:t>5.属于三类内部事务信息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rPr>
                <w:sz w:val="24"/>
                <w:szCs w:val="24"/>
              </w:rPr>
            </w:pPr>
            <w:r>
              <w:rPr>
                <w:rFonts w:ascii="楷体" w:eastAsia="楷体" w:cs="楷体" w:hint="eastAsia"/>
                <w:kern w:val="0"/>
                <w:sz w:val="24"/>
                <w:szCs w:val="24"/>
              </w:rPr>
              <w:t>6.属于四类过程性信息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rPr>
                <w:sz w:val="24"/>
                <w:szCs w:val="24"/>
              </w:rPr>
            </w:pPr>
            <w:r>
              <w:rPr>
                <w:rFonts w:ascii="楷体" w:eastAsia="楷体" w:cs="楷体" w:hint="eastAsia"/>
                <w:kern w:val="0"/>
                <w:sz w:val="24"/>
                <w:szCs w:val="24"/>
              </w:rPr>
              <w:t>7.属于行政执法案卷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rPr>
                <w:sz w:val="24"/>
                <w:szCs w:val="24"/>
              </w:rPr>
            </w:pPr>
            <w:r>
              <w:rPr>
                <w:rFonts w:ascii="楷体" w:eastAsia="楷体" w:cs="楷体" w:hint="eastAsia"/>
                <w:kern w:val="0"/>
                <w:sz w:val="24"/>
                <w:szCs w:val="24"/>
              </w:rPr>
              <w:t>8.属于行政查询事项</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rPr>
                <w:sz w:val="24"/>
                <w:szCs w:val="24"/>
              </w:rPr>
            </w:pPr>
            <w:r>
              <w:rPr>
                <w:rFonts w:ascii="楷体" w:eastAsia="楷体" w:cs="楷体" w:hint="eastAsia"/>
                <w:kern w:val="0"/>
                <w:sz w:val="24"/>
                <w:szCs w:val="24"/>
              </w:rPr>
              <w:t>（四）无法提供</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rPr>
                <w:sz w:val="24"/>
                <w:szCs w:val="24"/>
              </w:rPr>
            </w:pPr>
            <w:r>
              <w:rPr>
                <w:rFonts w:ascii="楷体" w:eastAsia="楷体" w:cs="楷体" w:hint="eastAsia"/>
                <w:kern w:val="0"/>
                <w:sz w:val="24"/>
                <w:szCs w:val="24"/>
              </w:rPr>
              <w:t>1.本机关不掌握相关政府信息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rPr>
                <w:sz w:val="24"/>
                <w:szCs w:val="24"/>
              </w:rPr>
            </w:pPr>
            <w:r>
              <w:rPr>
                <w:rFonts w:ascii="楷体" w:eastAsia="楷体" w:cs="楷体" w:hint="eastAsia"/>
                <w:kern w:val="0"/>
                <w:sz w:val="24"/>
                <w:szCs w:val="24"/>
              </w:rPr>
              <w:t>2.没有现成信息需要另行制作</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rPr>
                <w:sz w:val="24"/>
                <w:szCs w:val="24"/>
              </w:rPr>
            </w:pPr>
            <w:r>
              <w:rPr>
                <w:rFonts w:ascii="楷体" w:eastAsia="楷体" w:cs="楷体" w:hint="eastAsia"/>
                <w:kern w:val="0"/>
                <w:sz w:val="24"/>
                <w:szCs w:val="24"/>
              </w:rPr>
              <w:t>3.补正后申请内容仍不明确</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rPr>
                <w:sz w:val="24"/>
                <w:szCs w:val="24"/>
              </w:rPr>
            </w:pPr>
            <w:r>
              <w:rPr>
                <w:rFonts w:ascii="楷体" w:eastAsia="楷体" w:cs="楷体" w:hint="eastAsia"/>
                <w:kern w:val="0"/>
                <w:sz w:val="24"/>
                <w:szCs w:val="24"/>
              </w:rPr>
              <w:t>（五）不予处理</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rPr>
                <w:sz w:val="24"/>
                <w:szCs w:val="24"/>
              </w:rPr>
            </w:pPr>
            <w:r>
              <w:rPr>
                <w:rFonts w:ascii="楷体" w:eastAsia="楷体" w:cs="楷体" w:hint="eastAsia"/>
                <w:kern w:val="0"/>
                <w:sz w:val="24"/>
                <w:szCs w:val="24"/>
              </w:rPr>
              <w:t>1.信访举报投诉类申请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rPr>
                <w:sz w:val="24"/>
                <w:szCs w:val="24"/>
              </w:rPr>
            </w:pPr>
            <w:r>
              <w:rPr>
                <w:rFonts w:ascii="楷体" w:eastAsia="楷体" w:cs="楷体" w:hint="eastAsia"/>
                <w:kern w:val="0"/>
                <w:sz w:val="24"/>
                <w:szCs w:val="24"/>
              </w:rPr>
              <w:t>2.重复申请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rPr>
                <w:sz w:val="24"/>
                <w:szCs w:val="24"/>
              </w:rPr>
            </w:pPr>
            <w:r>
              <w:rPr>
                <w:rFonts w:ascii="楷体" w:eastAsia="楷体" w:cs="楷体" w:hint="eastAsia"/>
                <w:kern w:val="0"/>
                <w:sz w:val="24"/>
                <w:szCs w:val="24"/>
              </w:rPr>
              <w:t>3.要求提供公开出版物</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r>
      <w:tr>
        <w:trPr>
          <w:trHeight w:val="810"/>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rPr>
                <w:sz w:val="24"/>
                <w:szCs w:val="24"/>
              </w:rPr>
            </w:pPr>
            <w:r>
              <w:rPr>
                <w:rFonts w:ascii="楷体" w:eastAsia="楷体" w:cs="楷体" w:hint="eastAsia"/>
                <w:kern w:val="0"/>
                <w:sz w:val="24"/>
                <w:szCs w:val="24"/>
              </w:rPr>
              <w:t>4.无正当理由大量反复申请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rPr>
                <w:sz w:val="24"/>
                <w:szCs w:val="24"/>
              </w:rPr>
            </w:pPr>
            <w:r>
              <w:rPr>
                <w:rFonts w:ascii="楷体" w:eastAsia="楷体" w:cs="楷体" w:hint="eastAsia"/>
                <w:kern w:val="0"/>
                <w:sz w:val="24"/>
                <w:szCs w:val="24"/>
              </w:rPr>
              <w:t>5.要求行政机关确认或重新出具已获取信息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rPr>
                <w:sz w:val="24"/>
                <w:szCs w:val="24"/>
              </w:rPr>
            </w:pPr>
            <w:r>
              <w:rPr>
                <w:rFonts w:ascii="楷体" w:eastAsia="楷体" w:cs="楷体" w:hint="eastAsia"/>
                <w:kern w:val="0"/>
                <w:sz w:val="24"/>
                <w:szCs w:val="24"/>
              </w:rPr>
              <w:t>（六）其他处理</w:t>
            </w:r>
          </w:p>
        </w:tc>
        <w:tc>
          <w:tcPr>
            <w:tcW w:w="2670" w:type="dxa"/>
            <w:tcBorders>
              <w:top w:val="nil"/>
              <w:left w:val="single" w:sz="8" w:space="0" w:color="auto"/>
              <w:bottom w:val="single" w:sz="8" w:space="0" w:color="auto"/>
              <w:right w:val="single" w:sz="8" w:space="0" w:color="auto"/>
            </w:tcBorders>
            <w:shd w:val="clear" w:color="auto" w:fill="auto"/>
            <w:tcMar>
              <w:left w:w="108" w:type="dxa"/>
              <w:right w:w="108" w:type="dxa"/>
            </w:tcMar>
          </w:tcPr>
          <w:p>
            <w:pPr>
              <w:pStyle w:val="34"/>
              <w:widowControl/>
              <w:rPr>
                <w:rFonts w:ascii="楷体" w:eastAsia="楷体" w:cs="楷体"/>
                <w:kern w:val="0"/>
                <w:sz w:val="24"/>
                <w:szCs w:val="24"/>
              </w:rPr>
            </w:pPr>
            <w:r>
              <w:rPr>
                <w:rFonts w:ascii="楷体" w:eastAsia="楷体" w:cs="楷体" w:hint="eastAsia"/>
                <w:kern w:val="0"/>
                <w:sz w:val="24"/>
                <w:szCs w:val="24"/>
              </w:rPr>
              <w:t>1.申请人无正当理由逾期不补正、行政机关不再处理其政府信息公开申请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vAlign w:val="center"/>
          </w:tcPr>
          <w:p/>
        </w:tc>
        <w:tc>
          <w:tcPr>
            <w:tcW w:w="936" w:type="dxa"/>
            <w:vMerge/>
            <w:tcBorders>
              <w:top w:val="nil"/>
              <w:left w:val="nil"/>
              <w:bottom w:val="single" w:sz="8" w:space="0" w:color="auto"/>
              <w:right w:val="single" w:sz="8" w:space="0" w:color="auto"/>
            </w:tcBorders>
            <w:shd w:val="clear" w:color="auto" w:fill="auto"/>
            <w:vAlign w:val="center"/>
          </w:tcPr>
          <w:p/>
        </w:tc>
        <w:tc>
          <w:tcPr>
            <w:tcW w:w="2670" w:type="dxa"/>
            <w:tcBorders>
              <w:top w:val="nil"/>
              <w:left w:val="single" w:sz="8" w:space="0" w:color="auto"/>
              <w:bottom w:val="single" w:sz="8" w:space="0" w:color="auto"/>
              <w:right w:val="single" w:sz="8" w:space="0" w:color="auto"/>
            </w:tcBorders>
            <w:shd w:val="clear" w:color="auto" w:fill="auto"/>
          </w:tcPr>
          <w:p>
            <w:pPr>
              <w:pStyle w:val="34"/>
              <w:widowControl/>
              <w:rPr>
                <w:rFonts w:ascii="楷体" w:eastAsia="楷体" w:cs="楷体"/>
                <w:kern w:val="0"/>
                <w:sz w:val="24"/>
                <w:szCs w:val="24"/>
              </w:rPr>
            </w:pPr>
            <w:r>
              <w:rPr>
                <w:rFonts w:ascii="楷体" w:eastAsia="楷体" w:cs="楷体" w:hint="eastAsia"/>
                <w:kern w:val="0"/>
                <w:sz w:val="24"/>
                <w:szCs w:val="24"/>
              </w:rPr>
              <w:t>2.申请人逾期未按收费通知要求缴纳费用、行政机关不再处理其政府信息公开申请</w:t>
            </w:r>
          </w:p>
        </w:tc>
        <w:tc>
          <w:tcPr>
            <w:tcW w:w="635" w:type="dxa"/>
            <w:tcBorders>
              <w:top w:val="nil"/>
              <w:left w:val="nil"/>
              <w:bottom w:val="single" w:sz="8" w:space="0" w:color="auto"/>
              <w:right w:val="single" w:sz="8"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vAlign w:val="center"/>
          </w:tcPr>
          <w:p/>
        </w:tc>
        <w:tc>
          <w:tcPr>
            <w:tcW w:w="936" w:type="dxa"/>
            <w:vMerge/>
            <w:tcBorders>
              <w:top w:val="nil"/>
              <w:left w:val="nil"/>
              <w:bottom w:val="single" w:sz="8" w:space="0" w:color="auto"/>
              <w:right w:val="single" w:sz="8" w:space="0" w:color="auto"/>
            </w:tcBorders>
            <w:shd w:val="clear" w:color="auto" w:fill="auto"/>
            <w:vAlign w:val="center"/>
          </w:tcPr>
          <w:p/>
        </w:tc>
        <w:tc>
          <w:tcPr>
            <w:tcW w:w="2670" w:type="dxa"/>
            <w:tcBorders>
              <w:top w:val="nil"/>
              <w:left w:val="single" w:sz="8" w:space="0" w:color="auto"/>
              <w:bottom w:val="single" w:sz="8" w:space="0" w:color="auto"/>
              <w:right w:val="single" w:sz="8" w:space="0" w:color="auto"/>
            </w:tcBorders>
            <w:shd w:val="clear" w:color="auto" w:fill="auto"/>
          </w:tcPr>
          <w:p>
            <w:pPr>
              <w:pStyle w:val="34"/>
              <w:widowControl/>
              <w:rPr>
                <w:rFonts w:ascii="楷体" w:eastAsia="楷体" w:cs="楷体"/>
                <w:kern w:val="0"/>
                <w:sz w:val="24"/>
                <w:szCs w:val="24"/>
              </w:rPr>
            </w:pPr>
            <w:r>
              <w:rPr>
                <w:rFonts w:ascii="楷体" w:eastAsia="楷体" w:cs="楷体" w:hint="eastAsia"/>
                <w:kern w:val="0"/>
                <w:sz w:val="24"/>
                <w:szCs w:val="24"/>
              </w:rPr>
              <w:t>3.咨询事项，指引咨询渠道</w:t>
            </w:r>
          </w:p>
        </w:tc>
        <w:tc>
          <w:tcPr>
            <w:tcW w:w="635" w:type="dxa"/>
            <w:tcBorders>
              <w:top w:val="nil"/>
              <w:left w:val="nil"/>
              <w:bottom w:val="single" w:sz="8" w:space="0" w:color="auto"/>
              <w:right w:val="single" w:sz="8"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1</w:t>
            </w:r>
          </w:p>
        </w:tc>
        <w:tc>
          <w:tcPr>
            <w:tcW w:w="675" w:type="dxa"/>
            <w:tcBorders>
              <w:top w:val="nil"/>
              <w:left w:val="nil"/>
              <w:bottom w:val="single" w:sz="8" w:space="0" w:color="auto"/>
              <w:right w:val="single" w:sz="8"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1</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vAlign w:val="center"/>
          </w:tcPr>
          <w:p/>
        </w:tc>
        <w:tc>
          <w:tcPr>
            <w:tcW w:w="936" w:type="dxa"/>
            <w:vMerge/>
            <w:tcBorders>
              <w:top w:val="nil"/>
              <w:left w:val="nil"/>
              <w:bottom w:val="single" w:sz="8" w:space="0" w:color="auto"/>
              <w:right w:val="single" w:sz="8" w:space="0" w:color="auto"/>
            </w:tcBorders>
            <w:shd w:val="clear" w:color="auto" w:fill="auto"/>
            <w:vAlign w:val="center"/>
          </w:tcPr>
          <w:p/>
        </w:tc>
        <w:tc>
          <w:tcPr>
            <w:tcW w:w="2670" w:type="dxa"/>
            <w:tcBorders>
              <w:top w:val="nil"/>
              <w:left w:val="single" w:sz="8" w:space="0" w:color="auto"/>
              <w:bottom w:val="single" w:sz="8" w:space="0" w:color="auto"/>
              <w:right w:val="single" w:sz="8" w:space="0" w:color="auto"/>
            </w:tcBorders>
            <w:shd w:val="clear" w:color="auto" w:fill="auto"/>
          </w:tcPr>
          <w:p>
            <w:pPr>
              <w:pStyle w:val="34"/>
              <w:widowControl/>
              <w:rPr>
                <w:rFonts w:ascii="楷体" w:eastAsia="楷体" w:cs="楷体"/>
                <w:kern w:val="0"/>
                <w:sz w:val="24"/>
                <w:szCs w:val="24"/>
              </w:rPr>
            </w:pPr>
            <w:r>
              <w:rPr>
                <w:rFonts w:ascii="楷体" w:eastAsia="楷体" w:cs="楷体" w:hint="eastAsia"/>
                <w:kern w:val="0"/>
                <w:sz w:val="24"/>
                <w:szCs w:val="24"/>
              </w:rPr>
              <w:t>4.申请人撤销申请</w:t>
            </w:r>
          </w:p>
        </w:tc>
        <w:tc>
          <w:tcPr>
            <w:tcW w:w="635" w:type="dxa"/>
            <w:tcBorders>
              <w:top w:val="nil"/>
              <w:left w:val="nil"/>
              <w:bottom w:val="single" w:sz="8" w:space="0" w:color="auto"/>
              <w:right w:val="single" w:sz="8"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8</w:t>
            </w:r>
          </w:p>
        </w:tc>
        <w:tc>
          <w:tcPr>
            <w:tcW w:w="675" w:type="dxa"/>
            <w:tcBorders>
              <w:top w:val="nil"/>
              <w:left w:val="nil"/>
              <w:bottom w:val="single" w:sz="8" w:space="0" w:color="auto"/>
              <w:right w:val="single" w:sz="8"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8</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rPr>
                <w:sz w:val="24"/>
                <w:szCs w:val="24"/>
              </w:rPr>
            </w:pPr>
            <w:r>
              <w:rPr>
                <w:rFonts w:ascii="楷体" w:eastAsia="楷体" w:cs="楷体" w:hint="eastAsia"/>
                <w:kern w:val="0"/>
                <w:sz w:val="24"/>
                <w:szCs w:val="24"/>
              </w:rPr>
              <w:t>（七）总计</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9</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9</w:t>
            </w: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34"/>
              <w:widowControl/>
              <w:jc w:val="left"/>
            </w:pPr>
            <w:r>
              <w:rPr>
                <w:rFonts w:ascii="宋体" w:cs="宋体" w:hint="eastAsia"/>
                <w:kern w:val="0"/>
                <w:sz w:val="24"/>
                <w:szCs w:val="24"/>
              </w:rPr>
              <w:t>四、结转下年度继续办理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r>
    </w:tbl>
    <w:p>
      <w:pPr>
        <w:pStyle w:val="31"/>
        <w:widowControl/>
        <w:shd w:val="clear" w:color="auto" w:fill="FFFFFF"/>
        <w:adjustRightInd w:val="0"/>
        <w:snapToGrid w:val="0"/>
        <w:spacing w:beforeAutospacing="0" w:afterLines="50" w:after="218" w:afterAutospacing="0" w:line="560" w:lineRule="exact"/>
        <w:ind w:firstLineChars="200" w:firstLine="640"/>
        <w:jc w:val="both"/>
        <w:rPr>
          <w:rFonts w:ascii="方正黑体_GBK" w:eastAsia="方正黑体_GBK" w:cs="楷体_GB2312"/>
          <w:bCs/>
          <w:sz w:val="32"/>
          <w:szCs w:val="32"/>
          <w:shd w:val="clear" w:color="auto" w:fill="FFFFFF"/>
        </w:rPr>
      </w:pPr>
    </w:p>
    <w:p>
      <w:pPr>
        <w:pStyle w:val="31"/>
        <w:widowControl/>
        <w:shd w:val="clear" w:color="auto" w:fill="FFFFFF"/>
        <w:adjustRightInd w:val="0"/>
        <w:snapToGrid w:val="0"/>
        <w:spacing w:beforeAutospacing="0" w:afterLines="50" w:after="218" w:afterAutospacing="0" w:line="560" w:lineRule="exact"/>
        <w:ind w:firstLineChars="200" w:firstLine="640"/>
        <w:jc w:val="both"/>
        <w:rPr>
          <w:rFonts w:ascii="方正黑体_GBK" w:eastAsia="方正黑体_GBK" w:cs="楷体_GB2312"/>
          <w:bCs/>
          <w:sz w:val="32"/>
          <w:szCs w:val="32"/>
          <w:shd w:val="clear" w:color="auto" w:fill="FFFFFF"/>
        </w:rPr>
      </w:pPr>
    </w:p>
    <w:p>
      <w:pPr>
        <w:pStyle w:val="31"/>
        <w:widowControl/>
        <w:shd w:val="clear" w:color="auto" w:fill="FFFFFF"/>
        <w:adjustRightInd w:val="0"/>
        <w:snapToGrid w:val="0"/>
        <w:spacing w:beforeAutospacing="0" w:afterLines="50" w:after="218"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pStyle w:val="34"/>
              <w:widowControl/>
              <w:jc w:val="center"/>
              <w:rPr>
                <w:sz w:val="24"/>
                <w:szCs w:val="24"/>
              </w:rPr>
            </w:pPr>
            <w:r>
              <w:rPr>
                <w:rFonts w:ascii="宋体" w:cs="宋体" w:hint="eastAsia"/>
                <w:kern w:val="0"/>
                <w:sz w:val="24"/>
                <w:szCs w:val="24"/>
              </w:rPr>
              <w:t>行政复议</w:t>
            </w:r>
          </w:p>
        </w:tc>
        <w:tc>
          <w:tcPr>
            <w:tcW w:w="5997"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rPr>
                <w:sz w:val="24"/>
                <w:szCs w:val="24"/>
              </w:rPr>
            </w:pPr>
            <w:r>
              <w:rPr>
                <w:rFonts w:ascii="宋体" w:cs="宋体" w:hint="eastAsia"/>
                <w:kern w:val="0"/>
                <w:sz w:val="24"/>
                <w:szCs w:val="24"/>
              </w:rPr>
              <w:t>行政诉讼</w:t>
            </w:r>
          </w:p>
        </w:tc>
      </w:tr>
      <w:tr>
        <w:tc>
          <w:tcPr>
            <w:tcW w:w="604"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34"/>
              <w:widowControl/>
              <w:jc w:val="center"/>
              <w:rPr>
                <w:sz w:val="24"/>
                <w:szCs w:val="24"/>
              </w:rPr>
            </w:pPr>
            <w:r>
              <w:rPr>
                <w:rFonts w:ascii="宋体" w:cs="宋体" w:hint="eastAsia"/>
                <w:kern w:val="0"/>
                <w:sz w:val="24"/>
                <w:szCs w:val="24"/>
              </w:rPr>
              <w:t>结果维持</w:t>
            </w:r>
          </w:p>
        </w:tc>
        <w:tc>
          <w:tcPr>
            <w:tcW w:w="60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rPr>
                <w:sz w:val="24"/>
                <w:szCs w:val="24"/>
              </w:rPr>
            </w:pPr>
            <w:r>
              <w:rPr>
                <w:rFonts w:ascii="宋体" w:cs="宋体" w:hint="eastAsia"/>
                <w:kern w:val="0"/>
                <w:sz w:val="24"/>
                <w:szCs w:val="24"/>
              </w:rPr>
              <w:t>结果纠正</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rPr>
                <w:sz w:val="24"/>
                <w:szCs w:val="24"/>
              </w:rPr>
            </w:pPr>
            <w:r>
              <w:rPr>
                <w:rFonts w:ascii="宋体" w:cs="宋体" w:hint="eastAsia"/>
                <w:kern w:val="0"/>
                <w:sz w:val="24"/>
                <w:szCs w:val="24"/>
              </w:rPr>
              <w:t>其他结果</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rPr>
                <w:sz w:val="24"/>
                <w:szCs w:val="24"/>
              </w:rPr>
            </w:pPr>
            <w:r>
              <w:rPr>
                <w:rFonts w:ascii="宋体" w:cs="宋体" w:hint="eastAsia"/>
                <w:kern w:val="0"/>
                <w:sz w:val="24"/>
                <w:szCs w:val="24"/>
              </w:rPr>
              <w:t>尚未审结</w:t>
            </w:r>
          </w:p>
        </w:tc>
        <w:tc>
          <w:tcPr>
            <w:tcW w:w="658"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rPr>
                <w:sz w:val="24"/>
                <w:szCs w:val="24"/>
              </w:rPr>
            </w:pPr>
            <w:r>
              <w:rPr>
                <w:rFonts w:ascii="宋体" w:cs="宋体" w:hint="eastAsia"/>
                <w:kern w:val="0"/>
                <w:sz w:val="24"/>
                <w:szCs w:val="24"/>
              </w:rPr>
              <w:t>总计</w:t>
            </w:r>
          </w:p>
        </w:tc>
        <w:tc>
          <w:tcPr>
            <w:tcW w:w="2970"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rPr>
                <w:sz w:val="24"/>
                <w:szCs w:val="24"/>
              </w:rPr>
            </w:pPr>
            <w:r>
              <w:rPr>
                <w:rFonts w:ascii="宋体" w:cs="宋体" w:hint="eastAsia"/>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rPr>
                <w:sz w:val="24"/>
                <w:szCs w:val="24"/>
              </w:rPr>
            </w:pPr>
            <w:r>
              <w:rPr>
                <w:rFonts w:ascii="宋体" w:cs="宋体" w:hint="eastAsia"/>
                <w:kern w:val="0"/>
                <w:sz w:val="24"/>
                <w:szCs w:val="24"/>
              </w:rPr>
              <w:t>复议后起诉</w:t>
            </w:r>
          </w:p>
        </w:tc>
      </w:tr>
      <w:tr>
        <w:tc>
          <w:tcPr>
            <w:tcW w:w="604"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rPr>
                <w:sz w:val="24"/>
                <w:szCs w:val="24"/>
              </w:rPr>
            </w:pPr>
            <w:r>
              <w:rPr>
                <w:rFonts w:ascii="宋体" w:cs="宋体" w:hint="eastAsia"/>
                <w:kern w:val="0"/>
                <w:sz w:val="24"/>
                <w:szCs w:val="24"/>
              </w:rPr>
              <w:t>结果维持</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rPr>
                <w:sz w:val="24"/>
                <w:szCs w:val="24"/>
              </w:rPr>
            </w:pPr>
            <w:r>
              <w:rPr>
                <w:rFonts w:ascii="宋体" w:cs="宋体" w:hint="eastAsia"/>
                <w:kern w:val="0"/>
                <w:sz w:val="24"/>
                <w:szCs w:val="24"/>
              </w:rPr>
              <w:t>其他结果</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rPr>
                <w:sz w:val="24"/>
                <w:szCs w:val="24"/>
              </w:rPr>
            </w:pPr>
            <w:r>
              <w:rPr>
                <w:rFonts w:ascii="宋体" w:cs="宋体" w:hint="eastAsia"/>
                <w:kern w:val="0"/>
                <w:sz w:val="24"/>
                <w:szCs w:val="24"/>
              </w:rPr>
              <w:t>尚未审结</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rPr>
                <w:sz w:val="24"/>
                <w:szCs w:val="24"/>
              </w:rPr>
            </w:pPr>
            <w:r>
              <w:rPr>
                <w:rFonts w:ascii="宋体" w:cs="宋体" w:hint="eastAsia"/>
                <w:kern w:val="0"/>
                <w:sz w:val="24"/>
                <w:szCs w:val="24"/>
              </w:rPr>
              <w:t>总计</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rPr>
                <w:sz w:val="24"/>
                <w:szCs w:val="24"/>
              </w:rPr>
            </w:pPr>
            <w:r>
              <w:rPr>
                <w:rFonts w:ascii="宋体" w:cs="宋体" w:hint="eastAsia"/>
                <w:kern w:val="0"/>
                <w:sz w:val="24"/>
                <w:szCs w:val="24"/>
              </w:rPr>
              <w:t>结果维持</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rPr>
                <w:sz w:val="24"/>
                <w:szCs w:val="24"/>
              </w:rPr>
            </w:pPr>
            <w:r>
              <w:rPr>
                <w:rFonts w:ascii="宋体" w:cs="宋体" w:hint="eastAsia"/>
                <w:kern w:val="0"/>
                <w:sz w:val="24"/>
                <w:szCs w:val="24"/>
              </w:rPr>
              <w:t>其他结果</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rPr>
                <w:sz w:val="24"/>
                <w:szCs w:val="24"/>
              </w:rPr>
            </w:pPr>
            <w:r>
              <w:rPr>
                <w:rFonts w:ascii="宋体" w:cs="宋体" w:hint="eastAsia"/>
                <w:kern w:val="0"/>
                <w:sz w:val="24"/>
                <w:szCs w:val="24"/>
              </w:rPr>
              <w:t>尚未审结</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rPr>
                <w:sz w:val="24"/>
                <w:szCs w:val="24"/>
              </w:rPr>
            </w:pPr>
            <w:r>
              <w:rPr>
                <w:rFonts w:ascii="宋体" w:cs="宋体" w:hint="eastAsia"/>
                <w:kern w:val="0"/>
                <w:sz w:val="24"/>
                <w:szCs w:val="24"/>
              </w:rPr>
              <w:t>总计</w:t>
            </w:r>
          </w:p>
        </w:tc>
      </w:tr>
      <w:tr>
        <w:trPr>
          <w:trHeight w:val="862"/>
        </w:trPr>
        <w:tc>
          <w:tcPr>
            <w:tcW w:w="60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34"/>
              <w:widowControl/>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rPr>
                <w:sz w:val="28"/>
                <w:szCs w:val="28"/>
              </w:rPr>
            </w:pPr>
            <w:r>
              <w:rPr>
                <w:rFonts w:hint="eastAsia"/>
                <w:sz w:val="28"/>
                <w:szCs w:val="28"/>
              </w:rPr>
              <w:t>0</w:t>
            </w:r>
          </w:p>
        </w:tc>
        <w:tc>
          <w:tcPr>
            <w:tcW w:w="658"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rPr>
                <w:sz w:val="28"/>
                <w:szCs w:val="28"/>
              </w:rPr>
            </w:pPr>
            <w:r>
              <w:rPr>
                <w:rFonts w:hint="eastAsia"/>
                <w:sz w:val="28"/>
                <w:szCs w:val="28"/>
              </w:rPr>
              <w:t>0</w:t>
            </w: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rPr>
                <w:sz w:val="28"/>
                <w:szCs w:val="28"/>
              </w:rPr>
            </w:pPr>
            <w:r>
              <w:rPr>
                <w:rFonts w:hint="eastAsia"/>
                <w:sz w:val="28"/>
                <w:szCs w:val="28"/>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rPr>
                <w:kern w:val="0"/>
                <w:sz w:val="28"/>
                <w:szCs w:val="28"/>
              </w:rPr>
            </w:pPr>
            <w:r>
              <w:rPr>
                <w:rFonts w:hint="eastAsia"/>
                <w:kern w:val="0"/>
                <w:sz w:val="28"/>
                <w:szCs w:val="28"/>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rPr>
                <w:kern w:val="0"/>
                <w:sz w:val="28"/>
                <w:szCs w:val="28"/>
              </w:rPr>
            </w:pPr>
            <w:r>
              <w:rPr>
                <w:rFonts w:hint="eastAsia"/>
                <w:kern w:val="0"/>
                <w:sz w:val="28"/>
                <w:szCs w:val="28"/>
              </w:rPr>
              <w:t>0</w:t>
            </w:r>
          </w:p>
        </w:tc>
      </w:tr>
    </w:tbl>
    <w:p>
      <w:pPr>
        <w:pStyle w:val="31"/>
        <w:widowControl/>
        <w:shd w:val="clear" w:color="auto" w:fill="FFFFFF"/>
        <w:spacing w:beforeLines="50" w:before="218" w:beforeAutospacing="0"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五、存在的主要问题及改进情况</w:t>
      </w:r>
    </w:p>
    <w:p>
      <w:pPr>
        <w:pStyle w:val="47"/>
        <w:adjustRightInd w:val="0"/>
        <w:snapToGrid w:val="0"/>
        <w:ind w:firstLineChars="147" w:firstLine="459"/>
      </w:pPr>
      <w:r>
        <w:rPr>
          <w:rFonts w:ascii="方正楷体_GBK" w:eastAsia="方正楷体_GBK" w:hint="eastAsia"/>
          <w:b/>
          <w:bCs/>
        </w:rPr>
        <w:t>（一）2020年年报中所提问题整改情况。</w:t>
      </w:r>
      <w:r>
        <w:rPr>
          <w:rFonts w:hint="eastAsia"/>
        </w:rPr>
        <w:t>针对关区部分职能处室和隶属海关存在的政务公开意识不强的问题</w:t>
      </w:r>
      <w:r>
        <w:t>，</w:t>
      </w:r>
      <w:r>
        <w:rPr>
          <w:rFonts w:hint="eastAsia"/>
          <w:b/>
          <w:bCs/>
        </w:rPr>
        <w:t>一是</w:t>
      </w:r>
      <w:r>
        <w:rPr>
          <w:rFonts w:hint="eastAsia"/>
        </w:rPr>
        <w:t>从制度建设入手，明确责任。制定关区政务公开要点和</w:t>
      </w:r>
      <w:r>
        <w:rPr>
          <w:rFonts w:hint="eastAsia"/>
          <w:spacing w:val="-6"/>
        </w:rPr>
        <w:t>主动公开基本目录，</w:t>
      </w:r>
      <w:r>
        <w:rPr>
          <w:rFonts w:hint="eastAsia"/>
        </w:rPr>
        <w:t>明确公开责任和时限。</w:t>
      </w:r>
      <w:r>
        <w:rPr>
          <w:rFonts w:hint="eastAsia"/>
          <w:b/>
          <w:bCs/>
        </w:rPr>
        <w:t>二是</w:t>
      </w:r>
      <w:r>
        <w:rPr>
          <w:rFonts w:hint="eastAsia"/>
        </w:rPr>
        <w:t>从业务规范入手，加强指导。对主动公开信息，特别是社会关注度高的，及时与相关</w:t>
      </w:r>
      <w:r>
        <w:t>职能</w:t>
      </w:r>
      <w:r>
        <w:rPr>
          <w:rFonts w:hint="eastAsia"/>
        </w:rPr>
        <w:t>处室沟通交流，规范统一形式。</w:t>
      </w:r>
      <w:r>
        <w:rPr>
          <w:rFonts w:hint="eastAsia"/>
          <w:b/>
          <w:bCs/>
        </w:rPr>
        <w:t>三是</w:t>
      </w:r>
      <w:r>
        <w:rPr>
          <w:rFonts w:hint="eastAsia"/>
        </w:rPr>
        <w:t>从培训学习入手，提升水平。全年组织开展相关</w:t>
      </w:r>
      <w:r>
        <w:t>职能</w:t>
      </w:r>
      <w:r>
        <w:rPr>
          <w:rFonts w:hint="eastAsia"/>
        </w:rPr>
        <w:t>处室工作交流及培训3次。</w:t>
      </w:r>
      <w:r>
        <w:rPr>
          <w:rFonts w:hint="eastAsia"/>
          <w:b/>
          <w:bCs/>
        </w:rPr>
        <w:t>四是</w:t>
      </w:r>
      <w:r>
        <w:t>以关区</w:t>
      </w:r>
      <w:r>
        <w:rPr>
          <w:rFonts w:hint="eastAsia"/>
        </w:rPr>
        <w:t>隶属海关政务公开标准化试点建设为抓手，打造关区</w:t>
      </w:r>
      <w:r>
        <w:t>政务服务和政务公开工作</w:t>
      </w:r>
      <w:r>
        <w:rPr>
          <w:rFonts w:hint="eastAsia"/>
        </w:rPr>
        <w:t>“样板</w:t>
      </w:r>
      <w:r>
        <w:t>间</w:t>
      </w:r>
      <w:r>
        <w:rPr>
          <w:rFonts w:hint="eastAsia"/>
        </w:rPr>
        <w:t>”。</w:t>
      </w:r>
    </w:p>
    <w:p>
      <w:pPr>
        <w:pStyle w:val="40"/>
        <w:adjustRightInd w:val="0"/>
        <w:snapToGrid w:val="0"/>
        <w:ind w:firstLineChars="147" w:firstLine="459"/>
      </w:pPr>
      <w:r>
        <w:rPr>
          <w:rFonts w:ascii="方正楷体_GBK" w:eastAsia="方正楷体_GBK" w:hint="eastAsia"/>
          <w:b/>
          <w:bCs/>
        </w:rPr>
        <w:t>（二）目前存在问题。</w:t>
      </w:r>
      <w:r>
        <w:rPr>
          <w:rFonts w:hint="eastAsia"/>
          <w:b/>
          <w:bCs/>
        </w:rPr>
        <w:t>一是</w:t>
      </w:r>
      <w:r>
        <w:rPr>
          <w:rFonts w:hint="eastAsia"/>
        </w:rPr>
        <w:t>关区行政执法领域</w:t>
      </w:r>
      <w:r>
        <w:t>的</w:t>
      </w:r>
      <w:r>
        <w:rPr>
          <w:rFonts w:hint="eastAsia"/>
        </w:rPr>
        <w:t>“双随机一公开”等主动公开信息</w:t>
      </w:r>
      <w:r>
        <w:t>还不够</w:t>
      </w:r>
      <w:r>
        <w:rPr>
          <w:rFonts w:hint="eastAsia"/>
        </w:rPr>
        <w:t>规范统</w:t>
      </w:r>
      <w:r>
        <w:t>一</w:t>
      </w:r>
      <w:r>
        <w:rPr>
          <w:rFonts w:hint="eastAsia"/>
        </w:rPr>
        <w:t>，存在部分公开内容缺失等情况。</w:t>
      </w:r>
      <w:r>
        <w:rPr>
          <w:rFonts w:hint="eastAsia"/>
          <w:b/>
          <w:bCs/>
        </w:rPr>
        <w:t>二是</w:t>
      </w:r>
      <w:r>
        <w:rPr>
          <w:rFonts w:hint="eastAsia"/>
        </w:rPr>
        <w:t>政务公开系统存在使用不规范和使用效率不高等</w:t>
      </w:r>
      <w:r>
        <w:t>情况</w:t>
      </w:r>
      <w:r>
        <w:rPr>
          <w:rFonts w:hint="eastAsia"/>
        </w:rPr>
        <w:t>。三是个别隶属海关政务公开工作基础薄弱，工作相对滞后。</w:t>
      </w:r>
      <w:r>
        <w:t>　　　</w:t>
      </w:r>
    </w:p>
    <w:p>
      <w:pPr>
        <w:pStyle w:val="31"/>
        <w:widowControl/>
        <w:shd w:val="clear" w:color="auto" w:fill="FFFFFF"/>
        <w:spacing w:beforeAutospacing="0"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六、其他需要报告的事项</w:t>
      </w:r>
      <w:bookmarkEnd w:id="1"/>
    </w:p>
    <w:p>
      <w:pPr>
        <w:pStyle w:val="46"/>
        <w:adjustRightInd w:val="0"/>
        <w:snapToGrid w:val="0"/>
        <w:ind w:firstLineChars="200" w:firstLine="624"/>
      </w:pPr>
      <w:r>
        <w:rPr>
          <w:rFonts w:hint="eastAsia"/>
        </w:rPr>
        <w:t>按照《国务院办公厅关于进一步优化地方服务政务便民热线的指导意见》（国办发〔</w:t>
      </w:r>
      <w:r>
        <w:t>2020</w:t>
      </w:r>
      <w:r>
        <w:rPr>
          <w:rFonts w:hint="eastAsia"/>
        </w:rPr>
        <w:t>〕</w:t>
      </w:r>
      <w:r>
        <w:t>53</w:t>
      </w:r>
      <w:r>
        <w:rPr>
          <w:rFonts w:hint="eastAsia"/>
        </w:rPr>
        <w:t>号）要求和海关总署工作部署，重庆海关已正式挂牌成立“重庆市</w:t>
      </w:r>
      <w:r>
        <w:t>12345</w:t>
      </w:r>
      <w:r>
        <w:rPr>
          <w:rFonts w:hint="eastAsia"/>
        </w:rPr>
        <w:t>政务服务便民热线重庆海关分中心”，对外开展海关业务咨询服务。</w:t>
      </w:r>
    </w:p>
    <w:p>
      <w:pPr>
        <w:pStyle w:val="46"/>
        <w:adjustRightInd w:val="0"/>
        <w:snapToGrid w:val="0"/>
        <w:ind w:firstLineChars="200" w:firstLine="624"/>
      </w:pPr>
      <w:r>
        <w:rPr>
          <w:rFonts w:hint="eastAsia"/>
        </w:rPr>
        <w:t>按照</w:t>
      </w:r>
      <w:r>
        <w:t>重庆市人民政府办公厅《关于印发2021年</w:t>
      </w:r>
      <w:r>
        <w:rPr>
          <w:rFonts w:hint="eastAsia"/>
        </w:rPr>
        <w:t>“</w:t>
      </w:r>
      <w:r>
        <w:t>渝快办</w:t>
      </w:r>
      <w:r>
        <w:rPr>
          <w:rFonts w:hint="eastAsia"/>
        </w:rPr>
        <w:t>”</w:t>
      </w:r>
      <w:r>
        <w:t>全市一体化政务服务平台优化提升工作方案的通知》，</w:t>
      </w:r>
      <w:r>
        <w:rPr>
          <w:rFonts w:hint="eastAsia"/>
        </w:rPr>
        <w:t>组织关区</w:t>
      </w:r>
      <w:r>
        <w:t>职能</w:t>
      </w:r>
      <w:r>
        <w:rPr>
          <w:rFonts w:hint="eastAsia"/>
        </w:rPr>
        <w:t>处室上传优化营商环境、</w:t>
      </w:r>
      <w:r>
        <w:t>促进</w:t>
      </w:r>
      <w:r>
        <w:rPr>
          <w:rFonts w:hint="eastAsia"/>
        </w:rPr>
        <w:t>口岸贸易便利化等海关重要政策和解读素材3件。</w:t>
      </w:r>
    </w:p>
    <w:p>
      <w:pPr>
        <w:pStyle w:val="46"/>
        <w:adjustRightInd w:val="0"/>
        <w:snapToGrid w:val="0"/>
        <w:ind w:firstLineChars="200" w:firstLine="624"/>
      </w:pPr>
      <w:r>
        <w:rPr>
          <w:rFonts w:hint="eastAsia"/>
        </w:rPr>
        <w:t>本年度重庆海关</w:t>
      </w:r>
      <w:r>
        <w:t>关区</w:t>
      </w:r>
      <w:r>
        <w:rPr>
          <w:rFonts w:hint="eastAsia"/>
        </w:rPr>
        <w:t>无</w:t>
      </w:r>
      <w:r>
        <w:t>收取信息处理费情况。</w:t>
      </w:r>
    </w:p>
    <w:p>
      <w:pPr>
        <w:pStyle w:val="16"/>
        <w:tabs>
          <w:tab w:val="center" w:pos="4153"/>
          <w:tab w:val="right" w:pos="8306"/>
        </w:tabs>
      </w:pPr>
    </w:p>
    <w:p>
      <w:pPr>
        <w:pStyle w:val="16"/>
        <w:tabs>
          <w:tab w:val="center" w:pos="4153"/>
          <w:tab w:val="right" w:pos="8306"/>
        </w:tabs>
      </w:pPr>
    </w:p>
    <w:sectPr>
      <w:footerReference w:type="first" r:id="rId2"/>
      <w:pgSz w:w="11906" w:h="16838"/>
      <w:pgMar w:top="2098" w:right="1474" w:bottom="1985" w:left="1588" w:header="851" w:footer="992" w:gutter="0"/>
      <w:pgNumType w:fmt="numberInDash" w:start="1"/>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楷体_GB2312">
    <w:altName w:val="楷体"/>
    <w:panose1 w:val="00000000000000000000"/>
    <w:charset w:val="00"/>
    <w:family w:val="auto"/>
    <w:pitch w:val="variable"/>
    <w:sig w:usb0="00000000" w:usb1="00000000" w:usb2="00000000" w:usb3="00000000" w:csb0="00000000" w:csb1="00000000"/>
  </w:font>
  <w:font w:name="方正楷体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楷体">
    <w:altName w:val="楷体_GB2312"/>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6"/>
      </w:tabs>
      <w:jc w:val="right"/>
    </w:pPr>
    <w:r>
      <w:fldChar w:fldCharType="begin"/>
    </w:r>
    <w:r>
      <w:instrText>Page</w:instrText>
    </w:r>
    <w:r>
      <w:fldChar w:fldCharType="separate"/>
    </w:r>
    <w:r>
      <w:t>- 1 -</w:t>
    </w:r>
    <w:r>
      <w:fldChar w:fldCharType="end"/>
    </w:r>
    <w:r>
      <w:fldChar w:fldCharType="begin"/>
    </w:r>
    <w:r>
      <w:instrText>NumPages</w:instrText>
    </w:r>
    <w:r>
      <w:fldChar w:fldCharType="separate"/>
    </w:r>
    <w:r>
      <w:t>2</w:t>
    </w:r>
    <w:r>
      <w:fldChar w:fldCharType="end"/>
    </w:r>
    <w:r>
      <w:fldChar w:fldCharType="begin"/>
    </w:r>
    <w:r>
      <w:instrText>Page</w:instrText>
    </w:r>
    <w:r>
      <w:fldChar w:fldCharType="separate"/>
    </w:r>
    <w:r>
      <w:t>- 1 -</w:t>
    </w:r>
    <w:r>
      <w:fldChar w:fldCharType="end"/>
    </w:r>
    <w:r>
      <w:fldChar w:fldCharType="begin"/>
    </w:r>
    <w:r>
      <w:instrText>Page</w:instrText>
    </w:r>
    <w:r>
      <w:fldChar w:fldCharType="separate"/>
    </w:r>
    <w:r>
      <w:t>- 1 -</w:t>
    </w:r>
    <w:r>
      <w:fldChar w:fldCharType="end"/>
    </w:r>
  </w:p>
  <w:p>
    <w:pPr>
      <w:pStyle w:val="16"/>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trackRevisions/>
  <w:defaultTabStop w:val="420"/>
  <w:evenAndOddHeaders/>
  <w:drawingGridHorizontalSpacing w:val="160"/>
  <w:drawingGridVerticalSpacing w:val="435"/>
  <w:displayHorizontalDrawingGridEvery w:val="0"/>
  <w:displayVerticalDrawingGridEvery w:val="1"/>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22"/>
      <w:lang w:val="en-US" w:eastAsia="zh-CN" w:bidi="ar-SA"/>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rPr>
  </w:style>
  <w:style w:type="paragraph" w:styleId="16">
    <w:name w:val="footer"/>
    <w:basedOn w:val="0"/>
    <w:pPr>
      <w:tabs>
        <w:tab w:val="center" w:pos="4153"/>
        <w:tab w:val="right" w:pos="8306"/>
      </w:tabs>
      <w:snapToGrid w:val="0"/>
      <w:jc w:val="left"/>
    </w:pPr>
    <w:rPr>
      <w:sz w:val="18"/>
      <w:szCs w:val="18"/>
    </w:rPr>
  </w:style>
  <w:style w:type="character" w:styleId="17">
    <w:name w:val="page number"/>
    <w:basedOn w:val="10"/>
  </w:style>
  <w:style w:type="paragraph" w:customStyle="1" w:styleId="18">
    <w:name w:val="样式 三号"/>
    <w:next w:val="33"/>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9">
    <w:name w:val="正文7"/>
    <w:pPr>
      <w:widowControl w:val="0"/>
      <w:jc w:val="both"/>
    </w:pPr>
    <w:rPr>
      <w:rFonts w:ascii="Times New Roman" w:eastAsia="方正仿宋_GBK" w:cs="Times New Roman" w:hAnsi="Times New Roman"/>
      <w:kern w:val="2"/>
      <w:sz w:val="32"/>
      <w:lang w:val="en-US" w:eastAsia="zh-CN" w:bidi="ar-SA"/>
    </w:rPr>
  </w:style>
  <w:style w:type="paragraph" w:customStyle="1" w:styleId="20">
    <w:name w:val="正文6"/>
    <w:pPr>
      <w:widowControl w:val="0"/>
      <w:jc w:val="both"/>
    </w:pPr>
    <w:rPr>
      <w:rFonts w:ascii="Times New Roman" w:eastAsia="方正仿宋_GBK" w:cs="Times New Roman" w:hAnsi="Times New Roman"/>
      <w:kern w:val="2"/>
      <w:sz w:val="32"/>
      <w:lang w:val="en-US" w:eastAsia="zh-CN" w:bidi="ar-SA"/>
    </w:rPr>
  </w:style>
  <w:style w:type="paragraph" w:customStyle="1" w:styleId="21">
    <w:name w:val="正文5"/>
    <w:pPr>
      <w:widowControl w:val="0"/>
      <w:jc w:val="both"/>
    </w:pPr>
    <w:rPr>
      <w:rFonts w:ascii="Times New Roman" w:eastAsia="方正仿宋_GBK" w:cs="Times New Roman" w:hAnsi="Times New Roman"/>
      <w:kern w:val="2"/>
      <w:sz w:val="32"/>
      <w:lang w:val="en-US" w:eastAsia="zh-CN" w:bidi="ar-SA"/>
    </w:rPr>
  </w:style>
  <w:style w:type="paragraph" w:customStyle="1" w:styleId="22">
    <w:name w:val="正文4"/>
    <w:pPr>
      <w:widowControl w:val="0"/>
      <w:jc w:val="both"/>
    </w:pPr>
    <w:rPr>
      <w:rFonts w:ascii="Times New Roman" w:eastAsia="方正仿宋_GBK" w:cs="Times New Roman" w:hAnsi="Times New Roman"/>
      <w:kern w:val="2"/>
      <w:sz w:val="32"/>
      <w:lang w:val="en-US" w:eastAsia="zh-CN" w:bidi="ar-SA"/>
    </w:rPr>
  </w:style>
  <w:style w:type="paragraph" w:customStyle="1" w:styleId="23">
    <w:name w:val="正文3"/>
    <w:pPr>
      <w:widowControl w:val="0"/>
      <w:jc w:val="both"/>
    </w:pPr>
    <w:rPr>
      <w:rFonts w:ascii="Times New Roman" w:eastAsia="方正仿宋_GBK" w:cs="Times New Roman" w:hAnsi="Times New Roman"/>
      <w:kern w:val="2"/>
      <w:sz w:val="32"/>
      <w:lang w:val="en-US" w:eastAsia="zh-CN" w:bidi="ar-SA"/>
    </w:rPr>
  </w:style>
  <w:style w:type="paragraph" w:customStyle="1" w:styleId="24">
    <w:name w:val="正文2"/>
    <w:pPr>
      <w:widowControl w:val="0"/>
      <w:jc w:val="both"/>
    </w:pPr>
    <w:rPr>
      <w:rFonts w:ascii="Times New Roman" w:eastAsia="方正仿宋_GBK" w:cs="Times New Roman" w:hAnsi="Times New Roman"/>
      <w:kern w:val="2"/>
      <w:sz w:val="32"/>
      <w:lang w:val="en-US" w:eastAsia="zh-CN" w:bidi="ar-SA"/>
    </w:rPr>
  </w:style>
  <w:style w:type="paragraph" w:styleId="25">
    <w:name w:val="index 5"/>
    <w:basedOn w:val="0"/>
    <w:autoRedefine/>
    <w:next w:val="0"/>
    <w:pPr>
      <w:ind w:left="1680"/>
    </w:pPr>
  </w:style>
  <w:style w:type="paragraph" w:styleId="26">
    <w:name w:val="index 6"/>
    <w:basedOn w:val="0"/>
    <w:autoRedefine/>
    <w:next w:val="0"/>
    <w:pPr>
      <w:ind w:left="2100"/>
    </w:pPr>
  </w:style>
  <w:style w:type="paragraph" w:styleId="27">
    <w:name w:val="index 7"/>
    <w:basedOn w:val="0"/>
    <w:autoRedefine/>
    <w:next w:val="0"/>
    <w:pPr>
      <w:ind w:left="2520"/>
    </w:pPr>
  </w:style>
  <w:style w:type="paragraph" w:styleId="28">
    <w:name w:val="index 8"/>
    <w:basedOn w:val="0"/>
    <w:autoRedefine/>
    <w:next w:val="0"/>
    <w:pPr>
      <w:ind w:left="2940"/>
    </w:pPr>
  </w:style>
  <w:style w:type="paragraph" w:styleId="29">
    <w:name w:val="toc 1"/>
    <w:basedOn w:val="0"/>
    <w:autoRedefine/>
    <w:next w:val="0"/>
  </w:style>
  <w:style w:type="paragraph" w:styleId="30">
    <w:name w:val="toc 2"/>
    <w:basedOn w:val="0"/>
    <w:autoRedefine/>
    <w:next w:val="0"/>
    <w:pPr>
      <w:ind w:left="420"/>
    </w:pPr>
  </w:style>
  <w:style w:type="paragraph" w:styleId="31">
    <w:name w:val="Normal (Web)"/>
    <w:next w:val="16"/>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2">
    <w:name w:val="样式 1 三号"/>
    <w:next w:val="29"/>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33">
    <w:name w:val="样式 三号1"/>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4">
    <w:name w:val="样式 小三"/>
    <w:next w:val="30"/>
    <w:pPr>
      <w:widowControl w:val="0"/>
      <w:jc w:val="both"/>
    </w:pPr>
    <w:rPr>
      <w:rFonts w:ascii="Times New Roman" w:eastAsia="宋体" w:cs="Times New Roman" w:hAnsi="Times New Roman"/>
      <w:kern w:val="2"/>
      <w:sz w:val="30"/>
      <w:szCs w:val="30"/>
      <w:lang w:val="en-US" w:eastAsia="zh-CN" w:bidi="ar-SA"/>
    </w:rPr>
  </w:style>
  <w:style w:type="paragraph" w:customStyle="1" w:styleId="35">
    <w:name w:val="样式 1 小四"/>
    <w:next w:val="23"/>
    <w:pPr>
      <w:widowControl w:val="0"/>
    </w:pPr>
    <w:rPr>
      <w:rFonts w:ascii="宋体" w:eastAsia="宋体" w:cs="Times New Roman"/>
      <w:kern w:val="2"/>
      <w:sz w:val="24"/>
      <w:lang w:val="en-US" w:eastAsia="zh-CN" w:bidi="ar-SA"/>
    </w:rPr>
  </w:style>
  <w:style w:type="paragraph" w:customStyle="1" w:styleId="36">
    <w:name w:val="样式 6 小四"/>
    <w:next w:val="24"/>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7">
    <w:name w:val="样式 20 小四"/>
    <w:next w:val="25"/>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8">
    <w:name w:val="样式 12 三号"/>
    <w:next w:val="28"/>
    <w:pPr>
      <w:widowControl w:val="0"/>
      <w:jc w:val="both"/>
    </w:pPr>
    <w:rPr>
      <w:rFonts w:ascii="Times New Roman" w:eastAsia="方正仿宋_GBK" w:cs="Times New Roman" w:hAnsi="Times New Roman"/>
      <w:kern w:val="2"/>
      <w:sz w:val="32"/>
      <w:lang w:val="en-US" w:eastAsia="zh-CN" w:bidi="ar-SA"/>
    </w:rPr>
  </w:style>
  <w:style w:type="paragraph" w:customStyle="1" w:styleId="39">
    <w:name w:val="样式 50 三号"/>
    <w:next w:val="26"/>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0">
    <w:name w:val="样式 13 三号"/>
    <w:next w:val="27"/>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1">
    <w:name w:val="样式 2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42">
    <w:name w:val="样式 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43">
    <w:name w:val="样式 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44">
    <w:name w:val="样式 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45">
    <w:name w:val="样式 6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46">
    <w:name w:val="样式 7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7">
    <w:name w:val="样式 8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8">
    <w:name w:val="样式 小四"/>
    <w:pPr>
      <w:widowControl w:val="0"/>
    </w:pPr>
    <w:rPr>
      <w:rFonts w:ascii="宋体" w:eastAsia="宋体" w:cs="Times New Roman"/>
      <w:kern w:val="2"/>
      <w:sz w:val="24"/>
      <w:lang w:val="en-US" w:eastAsia="zh-CN" w:bidi="ar-SA"/>
    </w:rPr>
  </w:style>
  <w:style w:type="paragraph" w:customStyle="1" w:styleId="49">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50">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51">
    <w:name w:val="样式 3 小三"/>
    <w:pPr>
      <w:widowControl w:val="0"/>
      <w:jc w:val="both"/>
    </w:pPr>
    <w:rPr>
      <w:rFonts w:ascii="Times New Roman" w:eastAsia="宋体" w:cs="Times New Roman" w:hAnsi="Times New Roman"/>
      <w:kern w:val="2"/>
      <w:sz w:val="30"/>
      <w:szCs w:val="30"/>
      <w:lang w:val="en-US" w:eastAsia="zh-CN" w:bidi="ar-SA"/>
    </w:rPr>
  </w:style>
  <w:style w:type="paragraph" w:customStyle="1" w:styleId="52">
    <w:name w:val="样式 4 小三"/>
    <w:pPr>
      <w:widowControl w:val="0"/>
      <w:jc w:val="both"/>
    </w:pPr>
    <w:rPr>
      <w:rFonts w:ascii="Times New Roman" w:eastAsia="宋体" w:cs="Times New Roman" w:hAnsi="Times New Roman"/>
      <w:kern w:val="2"/>
      <w:sz w:val="30"/>
      <w:szCs w:val="30"/>
      <w:lang w:val="en-US" w:eastAsia="zh-CN" w:bidi="ar-SA"/>
    </w:rPr>
  </w:style>
  <w:style w:type="paragraph" w:customStyle="1" w:styleId="53">
    <w:name w:val="样式 9 三号"/>
    <w:pPr>
      <w:widowControl w:val="0"/>
      <w:ind w:left="420"/>
      <w:jc w:val="both"/>
    </w:pPr>
    <w:rPr>
      <w:rFonts w:ascii="Times New Roman" w:eastAsia="方正仿宋_GBK" w:cs="Times New Roman" w:hAnsi="Times New Roman"/>
      <w:kern w:val="2"/>
      <w:sz w:val="32"/>
      <w:szCs w:val="22"/>
      <w:lang w:val="en-US" w:eastAsia="zh-CN" w:bidi="ar-SA"/>
    </w:rPr>
  </w:style>
  <w:style w:type="paragraph" w:customStyle="1" w:styleId="54">
    <w:name w:val="样式 2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55">
    <w:name w:val="样式 10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56">
    <w:name w:val="样式 3 小四"/>
    <w:pPr>
      <w:widowControl w:val="0"/>
    </w:pPr>
    <w:rPr>
      <w:rFonts w:ascii="宋体" w:eastAsia="宋体" w:cs="Times New Roman"/>
      <w:kern w:val="2"/>
      <w:sz w:val="24"/>
      <w:lang w:val="en-US" w:eastAsia="zh-CN" w:bidi="ar-SA"/>
    </w:rPr>
  </w:style>
  <w:style w:type="paragraph" w:styleId="57">
    <w:name w:val="List Number 2"/>
    <w:basedOn w:val="0"/>
    <w:pPr>
      <w:tabs>
        <w:tab w:val="left" w:pos="780"/>
      </w:tabs>
      <w:ind w:left="780" w:hanging="360"/>
    </w:pPr>
  </w:style>
  <w:style w:type="paragraph" w:customStyle="1" w:styleId="58">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59">
    <w:name w:val="样式 6 小三"/>
    <w:pPr>
      <w:widowControl w:val="0"/>
      <w:jc w:val="both"/>
    </w:pPr>
    <w:rPr>
      <w:rFonts w:ascii="Times New Roman" w:eastAsia="宋体" w:cs="Times New Roman" w:hAnsi="Times New Roman"/>
      <w:kern w:val="2"/>
      <w:sz w:val="30"/>
      <w:szCs w:val="30"/>
      <w:lang w:val="en-US" w:eastAsia="zh-CN" w:bidi="ar-SA"/>
    </w:rPr>
  </w:style>
  <w:style w:type="paragraph" w:customStyle="1" w:styleId="60">
    <w:name w:val="样式 7 小三"/>
    <w:pPr>
      <w:widowControl w:val="0"/>
      <w:jc w:val="both"/>
    </w:pPr>
    <w:rPr>
      <w:rFonts w:ascii="Times New Roman" w:eastAsia="宋体" w:cs="Times New Roman" w:hAnsi="Times New Roman"/>
      <w:kern w:val="2"/>
      <w:sz w:val="30"/>
      <w:szCs w:val="30"/>
      <w:lang w:val="en-US" w:eastAsia="zh-CN" w:bidi="ar-SA"/>
    </w:rPr>
  </w:style>
  <w:style w:type="paragraph" w:customStyle="1" w:styleId="61">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62">
    <w:name w:val="样式 9 小三"/>
    <w:pPr>
      <w:widowControl w:val="0"/>
      <w:jc w:val="both"/>
    </w:pPr>
    <w:rPr>
      <w:rFonts w:ascii="Times New Roman" w:eastAsia="宋体" w:cs="Times New Roman" w:hAnsi="Times New Roman"/>
      <w:kern w:val="2"/>
      <w:sz w:val="30"/>
      <w:szCs w:val="30"/>
      <w:lang w:val="en-US" w:eastAsia="zh-CN" w:bidi="ar-SA"/>
    </w:rPr>
  </w:style>
  <w:style w:type="paragraph" w:customStyle="1" w:styleId="63">
    <w:name w:val="样式 10 小三"/>
    <w:pPr>
      <w:widowControl w:val="0"/>
      <w:jc w:val="both"/>
    </w:pPr>
    <w:rPr>
      <w:rFonts w:ascii="Times New Roman" w:eastAsia="宋体" w:cs="Times New Roman" w:hAnsi="Times New Roman"/>
      <w:kern w:val="2"/>
      <w:sz w:val="30"/>
      <w:szCs w:val="30"/>
      <w:lang w:val="en-US" w:eastAsia="zh-CN" w:bidi="ar-SA"/>
    </w:rPr>
  </w:style>
  <w:style w:type="paragraph" w:customStyle="1" w:styleId="64">
    <w:name w:val="样式 11 小三"/>
    <w:pPr>
      <w:widowControl w:val="0"/>
      <w:jc w:val="both"/>
    </w:pPr>
    <w:rPr>
      <w:rFonts w:ascii="Times New Roman" w:eastAsia="宋体" w:cs="Times New Roman" w:hAnsi="Times New Roman"/>
      <w:kern w:val="2"/>
      <w:sz w:val="30"/>
      <w:szCs w:val="30"/>
      <w:lang w:val="en-US" w:eastAsia="zh-CN" w:bidi="ar-SA"/>
    </w:rPr>
  </w:style>
  <w:style w:type="paragraph" w:customStyle="1" w:styleId="65">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66">
    <w:name w:val="样式 13 小三"/>
    <w:pPr>
      <w:widowControl w:val="0"/>
      <w:jc w:val="both"/>
    </w:pPr>
    <w:rPr>
      <w:rFonts w:ascii="Times New Roman" w:eastAsia="宋体" w:cs="Times New Roman" w:hAnsi="Times New Roman"/>
      <w:kern w:val="2"/>
      <w:sz w:val="30"/>
      <w:szCs w:val="30"/>
      <w:lang w:val="en-US" w:eastAsia="zh-CN" w:bidi="ar-SA"/>
    </w:rPr>
  </w:style>
  <w:style w:type="paragraph" w:customStyle="1" w:styleId="67">
    <w:name w:val="样式 14 小三"/>
    <w:pPr>
      <w:widowControl w:val="0"/>
      <w:jc w:val="both"/>
    </w:pPr>
    <w:rPr>
      <w:rFonts w:ascii="Times New Roman" w:eastAsia="宋体" w:cs="Times New Roman" w:hAnsi="Times New Roman"/>
      <w:kern w:val="2"/>
      <w:sz w:val="30"/>
      <w:szCs w:val="30"/>
      <w:lang w:val="en-US" w:eastAsia="zh-CN" w:bidi="ar-SA"/>
    </w:rPr>
  </w:style>
  <w:style w:type="paragraph" w:customStyle="1" w:styleId="68">
    <w:name w:val="样式 15 小三"/>
    <w:pPr>
      <w:widowControl w:val="0"/>
      <w:jc w:val="both"/>
    </w:pPr>
    <w:rPr>
      <w:rFonts w:ascii="Times New Roman" w:eastAsia="宋体" w:cs="Times New Roman" w:hAnsi="Times New Roman"/>
      <w:kern w:val="2"/>
      <w:sz w:val="30"/>
      <w:szCs w:val="30"/>
      <w:lang w:val="en-US" w:eastAsia="zh-CN" w:bidi="ar-SA"/>
    </w:rPr>
  </w:style>
  <w:style w:type="paragraph" w:customStyle="1" w:styleId="69">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70">
    <w:name w:val="样式 17 小三"/>
    <w:pPr>
      <w:widowControl w:val="0"/>
      <w:jc w:val="both"/>
    </w:pPr>
    <w:rPr>
      <w:rFonts w:ascii="Times New Roman" w:eastAsia="宋体" w:cs="Times New Roman" w:hAnsi="Times New Roman"/>
      <w:kern w:val="2"/>
      <w:sz w:val="30"/>
      <w:szCs w:val="30"/>
      <w:lang w:val="en-US" w:eastAsia="zh-CN" w:bidi="ar-SA"/>
    </w:rPr>
  </w:style>
  <w:style w:type="paragraph" w:customStyle="1" w:styleId="71">
    <w:name w:val="样式 18 小三"/>
    <w:pPr>
      <w:widowControl w:val="0"/>
      <w:jc w:val="both"/>
    </w:pPr>
    <w:rPr>
      <w:rFonts w:ascii="Times New Roman" w:eastAsia="宋体" w:cs="Times New Roman" w:hAnsi="Times New Roman"/>
      <w:kern w:val="2"/>
      <w:sz w:val="30"/>
      <w:szCs w:val="30"/>
      <w:lang w:val="en-US" w:eastAsia="zh-CN" w:bidi="ar-SA"/>
    </w:rPr>
  </w:style>
  <w:style w:type="paragraph" w:customStyle="1" w:styleId="72">
    <w:name w:val="样式 19 小三"/>
    <w:pPr>
      <w:widowControl w:val="0"/>
      <w:jc w:val="both"/>
    </w:pPr>
    <w:rPr>
      <w:rFonts w:ascii="Times New Roman" w:eastAsia="宋体" w:cs="Times New Roman" w:hAnsi="Times New Roman"/>
      <w:kern w:val="2"/>
      <w:sz w:val="30"/>
      <w:szCs w:val="30"/>
      <w:lang w:val="en-US" w:eastAsia="zh-CN" w:bidi="ar-SA"/>
    </w:rPr>
  </w:style>
  <w:style w:type="paragraph" w:customStyle="1" w:styleId="73">
    <w:name w:val="样式 20 小三"/>
    <w:pPr>
      <w:widowControl w:val="0"/>
      <w:jc w:val="both"/>
    </w:pPr>
    <w:rPr>
      <w:rFonts w:ascii="Times New Roman" w:eastAsia="宋体" w:cs="Times New Roman" w:hAnsi="Times New Roman"/>
      <w:kern w:val="2"/>
      <w:sz w:val="30"/>
      <w:szCs w:val="30"/>
      <w:lang w:val="en-US" w:eastAsia="zh-CN" w:bidi="ar-SA"/>
    </w:rPr>
  </w:style>
  <w:style w:type="paragraph" w:customStyle="1" w:styleId="74">
    <w:name w:val="列出段落1"/>
    <w:basedOn w:val="0"/>
    <w:pPr>
      <w:ind w:firstLineChars="200" w:firstLine="200"/>
    </w:pPr>
  </w:style>
  <w:style w:type="paragraph" w:customStyle="1" w:styleId="75">
    <w:name w:val="样式 19 三号"/>
    <w:pPr>
      <w:widowControl w:val="0"/>
      <w:spacing w:line="560" w:lineRule="exact"/>
      <w:jc w:val="both"/>
    </w:pPr>
    <w:rPr>
      <w:rFonts w:ascii="华文仿宋" w:eastAsia="华文仿宋" w:cs="华文仿宋"/>
      <w:kern w:val="2"/>
      <w:sz w:val="32"/>
      <w:szCs w:val="32"/>
      <w:lang w:val="en-US" w:eastAsia="zh-CN" w:bidi="ar-SA"/>
    </w:rPr>
  </w:style>
  <w:style w:type="character" w:styleId="76">
    <w:name w:val="Hyperlink"/>
    <w:basedOn w:val="10"/>
    <w:rPr>
      <w:color w:val="0000FF"/>
      <w:u w:val="single"/>
    </w:rPr>
  </w:style>
  <w:style w:type="character" w:styleId="77">
    <w:name w:val="FollowedHyperlink"/>
    <w:basedOn w:val="10"/>
    <w:rPr>
      <w:color w:val="800080"/>
      <w:u w:val="single"/>
    </w:rPr>
  </w:style>
  <w:style w:type="paragraph" w:customStyle="1" w:styleId="78">
    <w:name w:val="样式 11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79">
    <w:name w:val="样式 14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styleId="80">
    <w:name w:val="Balloon Text"/>
    <w:basedOn w:val="0"/>
    <w:rPr>
      <w:sz w:val="18"/>
      <w:szCs w:val="18"/>
    </w:rPr>
  </w:style>
  <w:style w:type="paragraph" w:customStyle="1" w:styleId="81">
    <w:name w:val="样式 15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82">
    <w:name w:val="样式 16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2397</TotalTime>
  <Application>Yozo_Office</Application>
  <Pages>7</Pages>
  <Words>2745</Words>
  <Characters>2833</Characters>
  <Lines>443</Lines>
  <Paragraphs>307</Paragraphs>
  <CharactersWithSpaces>2836</CharactersWithSpaces>
  <Company>ccic</Company>
</Properties>
</file>

<file path=docProps/core.xml><?xml version="1.0" encoding="utf-8"?>
<cp:coreProperties xmlns:cp="http://schemas.openxmlformats.org/package/2006/metadata/core-properties" xmlns:dc="http://purl.org/dc/elements/1.1/" xmlns:dcterms="http://purl.org/dc/terms/" xmlns:xsi="http://www.w3.org/2001/XMLSchema-instance">
  <dc:creator>吕大良</dc:creator>
  <cp:lastModifiedBy>张楠</cp:lastModifiedBy>
  <cp:revision>8</cp:revision>
  <cp:lastPrinted>2021-11-30T07:27:00Z</cp:lastPrinted>
  <dcterms:created xsi:type="dcterms:W3CDTF">2008-05-09T07:46:00Z</dcterms:created>
  <dcterms:modified xsi:type="dcterms:W3CDTF">2022-02-24T07:51:51Z</dcterms:modified>
</cp:coreProperties>
</file>