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napToGrid w:val="0"/>
        <w:spacing w:line="560" w:lineRule="exact"/>
        <w:ind w:firstLine="10"/>
        <w:jc w:val="left"/>
        <w:rPr>
          <w:rFonts w:ascii="Times New Roman" w:eastAsia="方正仿宋_GBK" w:cs="Times New Roman" w:hAnsi="Times New Roman" w:hint="eastAsia"/>
          <w:b/>
          <w:bCs/>
          <w:sz w:val="32"/>
          <w:szCs w:val="20"/>
        </w:rPr>
      </w:pPr>
      <w:r>
        <w:rPr>
          <w:rFonts w:ascii="方正黑体_GBK" w:eastAsia="方正黑体_GBK" w:cs="Times New Roman" w:hint="eastAsia"/>
          <w:bCs/>
          <w:sz w:val="32"/>
          <w:szCs w:val="20"/>
        </w:rPr>
        <w:t>附件</w:t>
      </w:r>
    </w:p>
    <w:p>
      <w:pPr>
        <w:snapToGrid w:val="0"/>
        <w:spacing w:line="560" w:lineRule="exact"/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业务核准清单</w:t>
      </w:r>
    </w:p>
    <w:p>
      <w:pPr>
        <w:snapToGrid w:val="0"/>
        <w:spacing w:line="560" w:lineRule="exact"/>
        <w:jc w:val="center"/>
        <w:rPr>
          <w:rFonts w:ascii="方正小标宋_GBK" w:eastAsia="方正小标宋_GBK" w:cs="Times New Roman" w:hint="eastAsia"/>
          <w:b/>
          <w:bCs/>
          <w:sz w:val="44"/>
          <w:szCs w:val="44"/>
        </w:rPr>
      </w:pPr>
    </w:p>
    <w:tbl>
      <w:tblPr>
        <w:jc w:val="left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4253"/>
      </w:tblGrid>
      <w:tr>
        <w:trPr>
          <w:trHeight w:hRule="exact" w:val="74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ascii="方正小标宋_GBK" w:eastAsia="方正小标宋_GBK" w:cs="Times New Roman"/>
                <w:sz w:val="24"/>
                <w:szCs w:val="24"/>
              </w:rPr>
            </w:pPr>
            <w:r>
              <w:rPr>
                <w:rFonts w:ascii="方正小标宋_GBK" w:eastAsia="方正小标宋_GBK" w:cs="Times New Roman" w:hint="eastAsia"/>
                <w:sz w:val="24"/>
                <w:szCs w:val="24"/>
              </w:rPr>
              <w:t>业务类型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53" w:lineRule="exact"/>
              <w:jc w:val="center"/>
              <w:rPr>
                <w:rFonts w:ascii="方正小标宋_GBK" w:eastAsia="方正小标宋_GBK" w:cs="Times New Roman"/>
                <w:sz w:val="24"/>
                <w:szCs w:val="24"/>
              </w:rPr>
            </w:pPr>
            <w:r>
              <w:rPr>
                <w:rFonts w:ascii="方正小标宋_GBK" w:eastAsia="方正小标宋_GBK" w:cs="Times New Roman" w:hint="eastAsia"/>
                <w:sz w:val="24"/>
                <w:szCs w:val="24"/>
              </w:rPr>
              <w:t>业务模式</w:t>
            </w:r>
          </w:p>
        </w:tc>
      </w:tr>
      <w:tr>
        <w:trPr>
          <w:cantSplit/>
          <w:trHeight w:hRule="exact" w:val="453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分送集报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53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一般分送</w:t>
            </w:r>
          </w:p>
        </w:tc>
      </w:tr>
      <w:tr>
        <w:trPr>
          <w:cantSplit/>
          <w:trHeight w:val="453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区内流转</w:t>
            </w:r>
          </w:p>
        </w:tc>
      </w:tr>
      <w:tr>
        <w:trPr>
          <w:cantSplit/>
          <w:trHeight w:val="453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区间流转</w:t>
            </w:r>
          </w:p>
        </w:tc>
      </w:tr>
      <w:tr>
        <w:trPr>
          <w:cantSplit/>
          <w:trHeight w:val="453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账册调拨</w:t>
            </w:r>
          </w:p>
        </w:tc>
      </w:tr>
      <w:tr>
        <w:trPr>
          <w:cantSplit/>
          <w:trHeight w:val="453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设备进区</w:t>
            </w:r>
          </w:p>
        </w:tc>
      </w:tr>
      <w:tr>
        <w:trPr>
          <w:cantSplit/>
          <w:trHeight w:val="453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区域通关</w:t>
            </w:r>
          </w:p>
        </w:tc>
      </w:tr>
      <w:tr>
        <w:trPr>
          <w:cantSplit/>
          <w:trHeight w:val="453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保税内销</w:t>
            </w:r>
          </w:p>
        </w:tc>
      </w:tr>
      <w:tr>
        <w:trPr>
          <w:trHeight w:hRule="exact"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不良品交换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53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不良品交换</w:t>
            </w:r>
          </w:p>
        </w:tc>
      </w:tr>
      <w:tr>
        <w:trPr>
          <w:trHeight w:hRule="exact" w:val="57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料件外发加工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53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料件外发加工</w:t>
            </w:r>
          </w:p>
        </w:tc>
      </w:tr>
      <w:tr>
        <w:trPr>
          <w:trHeight w:hRule="exact" w:val="5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出区检测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53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出区检测</w:t>
            </w:r>
          </w:p>
        </w:tc>
      </w:tr>
      <w:tr>
        <w:trPr>
          <w:trHeight w:hRule="exact" w:val="5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展示交易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53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展示交易</w:t>
            </w:r>
          </w:p>
        </w:tc>
      </w:tr>
      <w:tr>
        <w:trPr>
          <w:trHeight w:hRule="exact" w:val="57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废料内销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53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废料内销</w:t>
            </w:r>
          </w:p>
        </w:tc>
      </w:tr>
      <w:tr>
        <w:trPr>
          <w:trHeight w:hRule="exact" w:val="5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出区维修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52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出区维修</w:t>
            </w:r>
          </w:p>
        </w:tc>
      </w:tr>
      <w:tr>
        <w:trPr>
          <w:trHeight w:hRule="exact" w:val="55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模具外发加工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52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模具外发</w:t>
            </w:r>
          </w:p>
        </w:tc>
      </w:tr>
      <w:tr>
        <w:trPr>
          <w:trHeight w:hRule="exact" w:val="5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卡口登记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52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基建物资</w:t>
            </w:r>
          </w:p>
        </w:tc>
      </w:tr>
      <w:tr>
        <w:trPr>
          <w:trHeight w:hRule="exact" w:val="5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卡口登记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52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通用承载物料</w:t>
            </w:r>
          </w:p>
        </w:tc>
      </w:tr>
      <w:tr>
        <w:trPr>
          <w:trHeight w:hRule="exact" w:val="5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卡口登记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52" w:lineRule="exact"/>
              <w:jc w:val="left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其他登记</w:t>
            </w:r>
          </w:p>
        </w:tc>
      </w:tr>
    </w:tbl>
    <w:p>
      <w:bookmarkStart w:id="0" w:name="_GoBack"/>
      <w:bookmarkEnd w:id="0"/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2168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</TotalTime>
  <Application>Yozo_Office</Application>
  <Pages>1</Pages>
  <Words>138</Words>
  <Characters>138</Characters>
  <Lines>33</Lines>
  <Paragraphs>32</Paragraphs>
  <CharactersWithSpaces>138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张楠</dc:creator>
  <cp:lastModifiedBy>张楠</cp:lastModifiedBy>
  <cp:revision>1</cp:revision>
  <dcterms:created xsi:type="dcterms:W3CDTF">2022-03-25T02:19:16Z</dcterms:created>
  <dcterms:modified xsi:type="dcterms:W3CDTF">2022-03-25T02:38:02Z</dcterms:modified>
</cp:coreProperties>
</file>