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3"/>
        <w:spacing w:line="580"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重庆海关</w:t>
      </w:r>
      <w:r>
        <w:rPr>
          <w:rFonts w:ascii="方正小标宋_GBK" w:eastAsia="方正小标宋_GBK" w:cs="方正小标宋_GBK"/>
          <w:sz w:val="44"/>
          <w:szCs w:val="44"/>
        </w:rPr>
        <w:t>（本级机关）</w:t>
      </w:r>
      <w:r>
        <w:rPr>
          <w:rFonts w:eastAsia="方正小标宋_GBK"/>
          <w:sz w:val="44"/>
          <w:szCs w:val="44"/>
        </w:rPr>
        <w:t>2025</w:t>
      </w:r>
      <w:r>
        <w:rPr>
          <w:rFonts w:ascii="方正小标宋_GBK" w:eastAsia="方正小标宋_GBK" w:cs="方正小标宋_GBK" w:hint="eastAsia"/>
          <w:sz w:val="44"/>
          <w:szCs w:val="44"/>
        </w:rPr>
        <w:t>年政府信息公开工作年度报告</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Style w:val="18"/>
          <w:rFonts w:ascii="Arial" w:hAnsi="Arial"/>
          <w:b w:val="0"/>
          <w:bCs w:val="0"/>
          <w:i w:val="0"/>
          <w:iCs w:val="0"/>
          <w:caps w:val="0"/>
          <w:smallCaps w:val="0"/>
          <w:vanish w:val="0"/>
          <w:color w:val="222222"/>
          <w:spacing w:val="0"/>
          <w:sz w:val="21"/>
          <w:szCs w:val="21"/>
        </w:rPr>
      </w:pP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Fonts w:ascii="Arial" w:hAnsi="Arial"/>
          <w:b w:val="0"/>
          <w:bCs w:val="0"/>
          <w:i w:val="0"/>
          <w:iCs w:val="0"/>
          <w:caps w:val="0"/>
          <w:smallCaps w:val="0"/>
          <w:vanish w:val="0"/>
          <w:color w:val="222222"/>
          <w:spacing w:val="0"/>
          <w:sz w:val="21"/>
          <w:szCs w:val="21"/>
        </w:rPr>
      </w:pPr>
      <w:r>
        <w:rPr>
          <w:rStyle w:val="18"/>
          <w:rFonts w:ascii="Arial" w:hAnsi="Arial"/>
          <w:b w:val="0"/>
          <w:bCs w:val="0"/>
          <w:i w:val="0"/>
          <w:iCs w:val="0"/>
          <w:caps w:val="0"/>
          <w:smallCaps w:val="0"/>
          <w:vanish w:val="0"/>
          <w:color w:val="222222"/>
          <w:spacing w:val="0"/>
          <w:sz w:val="21"/>
          <w:szCs w:val="21"/>
        </w:rPr>
        <w:t>　</w:t>
      </w:r>
      <w:r>
        <w:rPr>
          <w:rStyle w:val="0"/>
          <w:rFonts w:ascii="方正黑体_GBK" w:eastAsia="方正黑体_GBK" w:cs="楷体_GB2312" w:hint="eastAsia"/>
          <w:bCs/>
          <w:kern w:val="0"/>
          <w:sz w:val="32"/>
          <w:szCs w:val="32"/>
          <w:shd w:val="clear" w:color="auto" w:fill="FFFFFF"/>
        </w:rPr>
        <w:t>　一、总体情况</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Fonts w:ascii="方正仿宋_GBK" w:eastAsia="方正仿宋_GBK" w:cs="Arial"/>
          <w:spacing w:val="-4"/>
          <w:sz w:val="32"/>
          <w:szCs w:val="32"/>
          <w:shd w:val="clear" w:color="auto" w:fill="auto"/>
        </w:rPr>
      </w:pPr>
      <w:r>
        <w:rPr>
          <w:rFonts w:ascii="Arial" w:hAnsi="Arial"/>
          <w:b w:val="0"/>
          <w:bCs w:val="0"/>
          <w:i w:val="0"/>
          <w:iCs w:val="0"/>
          <w:caps w:val="0"/>
          <w:smallCaps w:val="0"/>
          <w:vanish w:val="0"/>
          <w:color w:val="222222"/>
          <w:spacing w:val="0"/>
          <w:sz w:val="21"/>
          <w:szCs w:val="21"/>
        </w:rPr>
        <w:t>　</w:t>
      </w:r>
      <w:r>
        <w:rPr>
          <w:rFonts w:ascii="方正楷体_GBK" w:eastAsia="方正楷体_GBK" w:cs="Arial" w:hint="eastAsia"/>
          <w:b/>
          <w:bCs/>
          <w:spacing w:val="-4"/>
          <w:sz w:val="32"/>
          <w:szCs w:val="32"/>
          <w:shd w:val="clear" w:color="auto" w:fill="auto"/>
        </w:rPr>
        <w:t>　</w:t>
      </w:r>
      <w:r>
        <w:rPr>
          <w:rFonts w:ascii="方正仿宋_GBK" w:eastAsia="方正仿宋_GBK" w:cs="Arial"/>
          <w:spacing w:val="-4"/>
          <w:sz w:val="32"/>
          <w:szCs w:val="32"/>
          <w:shd w:val="clear" w:color="auto" w:fill="auto"/>
        </w:rPr>
        <w:t xml:space="preserve"> （一）有序做好日常主动公开工作，</w:t>
      </w:r>
      <w:r>
        <w:rPr>
          <w:rFonts w:ascii="方正仿宋_GBK" w:eastAsia="方正仿宋_GBK" w:cs="Arial" w:hint="eastAsia"/>
          <w:spacing w:val="-4"/>
          <w:sz w:val="32"/>
          <w:szCs w:val="32"/>
          <w:shd w:val="clear" w:color="auto" w:fill="auto"/>
        </w:rPr>
        <w:t>修订印发《重庆海关主动公开基本目录（202</w:t>
      </w:r>
      <w:r>
        <w:rPr>
          <w:rFonts w:ascii="方正仿宋_GBK" w:eastAsia="方正仿宋_GBK" w:cs="Arial"/>
          <w:spacing w:val="-4"/>
          <w:sz w:val="32"/>
          <w:szCs w:val="32"/>
          <w:shd w:val="clear" w:color="auto" w:fill="auto"/>
        </w:rPr>
        <w:t>5</w:t>
      </w:r>
      <w:r>
        <w:rPr>
          <w:rFonts w:ascii="方正仿宋_GBK" w:eastAsia="方正仿宋_GBK" w:cs="Arial" w:hint="eastAsia"/>
          <w:spacing w:val="-4"/>
          <w:sz w:val="32"/>
          <w:szCs w:val="32"/>
          <w:shd w:val="clear" w:color="auto" w:fill="auto"/>
        </w:rPr>
        <w:t>版）》，明确主动公开要求，持续巩固重庆海关机关信息资源管理水平</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全年发布重庆海关本级公告</w:t>
      </w:r>
      <w:r>
        <w:rPr>
          <w:rFonts w:ascii="方正仿宋_GBK" w:eastAsia="方正仿宋_GBK" w:cs="Arial"/>
          <w:spacing w:val="-4"/>
          <w:sz w:val="32"/>
          <w:szCs w:val="32"/>
          <w:shd w:val="clear" w:color="auto" w:fill="auto"/>
        </w:rPr>
        <w:t>1</w:t>
      </w:r>
      <w:r>
        <w:rPr>
          <w:rFonts w:ascii="方正仿宋_GBK" w:eastAsia="方正仿宋_GBK" w:cs="Arial" w:hint="eastAsia"/>
          <w:spacing w:val="-4"/>
          <w:sz w:val="32"/>
          <w:szCs w:val="32"/>
          <w:shd w:val="clear" w:color="auto" w:fill="auto"/>
        </w:rPr>
        <w:t>项，公开机关处室便函、通告文件</w:t>
      </w:r>
      <w:r>
        <w:rPr>
          <w:rFonts w:ascii="方正仿宋_GBK" w:eastAsia="方正仿宋_GBK" w:cs="Arial"/>
          <w:spacing w:val="-4"/>
          <w:sz w:val="32"/>
          <w:szCs w:val="32"/>
          <w:shd w:val="clear" w:color="auto" w:fill="auto"/>
        </w:rPr>
        <w:t>5</w:t>
      </w:r>
      <w:r>
        <w:rPr>
          <w:rFonts w:ascii="方正仿宋_GBK" w:eastAsia="方正仿宋_GBK" w:cs="Arial" w:hint="eastAsia"/>
          <w:spacing w:val="-4"/>
          <w:sz w:val="32"/>
          <w:szCs w:val="32"/>
          <w:shd w:val="clear" w:color="auto" w:fill="auto"/>
        </w:rPr>
        <w:t>件，集中公开</w:t>
      </w:r>
      <w:r>
        <w:rPr>
          <w:rStyle w:val="0"/>
          <w:rFonts w:ascii="方正仿宋_GBK" w:eastAsia="方正仿宋_GBK" w:cs="Arial" w:hint="eastAsia"/>
          <w:spacing w:val="-4"/>
          <w:sz w:val="32"/>
          <w:szCs w:val="32"/>
          <w:shd w:val="clear" w:color="auto" w:fill="auto"/>
        </w:rPr>
        <w:t>关区本级办理相关人大政协建议情况</w:t>
      </w:r>
      <w:r>
        <w:rPr>
          <w:rStyle w:val="0"/>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维护</w:t>
      </w:r>
      <w:r>
        <w:rPr>
          <w:rStyle w:val="0"/>
          <w:rFonts w:ascii="方正仿宋_GBK" w:eastAsia="方正仿宋_GBK" w:cs="Arial" w:hint="eastAsia"/>
          <w:spacing w:val="-4"/>
          <w:sz w:val="32"/>
          <w:szCs w:val="32"/>
          <w:shd w:val="clear" w:color="auto" w:fill="auto"/>
        </w:rPr>
        <w:t>数说海关、图说海关</w:t>
      </w:r>
      <w:r>
        <w:rPr>
          <w:rFonts w:ascii="方正仿宋_GBK" w:eastAsia="方正仿宋_GBK" w:cs="Arial" w:hint="eastAsia"/>
          <w:spacing w:val="-4"/>
          <w:sz w:val="32"/>
          <w:szCs w:val="32"/>
          <w:shd w:val="clear" w:color="auto" w:fill="auto"/>
        </w:rPr>
        <w:t>数据栏目，全年发布统计数据55条，统计分析11条。</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627"/>
        <w:rPr>
          <w:rFonts w:ascii="方正仿宋_GBK" w:eastAsia="方正仿宋_GBK" w:cs="Arial" w:hint="eastAsia"/>
          <w:spacing w:val="-4"/>
          <w:sz w:val="32"/>
          <w:szCs w:val="32"/>
          <w:shd w:val="clear" w:color="auto" w:fill="auto"/>
        </w:rPr>
      </w:pPr>
      <w:r>
        <w:rPr>
          <w:rFonts w:ascii="方正仿宋_GBK" w:eastAsia="方正仿宋_GBK" w:cs="Arial"/>
          <w:spacing w:val="-4"/>
          <w:sz w:val="32"/>
          <w:szCs w:val="32"/>
          <w:shd w:val="clear" w:color="auto" w:fill="auto"/>
        </w:rPr>
        <w:t>（二）配合总署</w:t>
      </w:r>
      <w:r>
        <w:rPr>
          <w:rFonts w:ascii="方正仿宋_GBK" w:eastAsia="方正仿宋_GBK" w:cs="Arial" w:hint="eastAsia"/>
          <w:spacing w:val="-4"/>
          <w:sz w:val="32"/>
          <w:szCs w:val="32"/>
          <w:shd w:val="clear" w:color="auto" w:fill="auto"/>
        </w:rPr>
        <w:t>完成门户网站升级改版工作，</w:t>
      </w:r>
      <w:r>
        <w:rPr>
          <w:rFonts w:ascii="方正仿宋_GBK" w:eastAsia="方正仿宋_GBK" w:cs="Arial"/>
          <w:spacing w:val="-4"/>
          <w:sz w:val="32"/>
          <w:szCs w:val="32"/>
          <w:shd w:val="clear" w:color="auto" w:fill="auto"/>
        </w:rPr>
        <w:t>更新</w:t>
      </w:r>
      <w:r>
        <w:rPr>
          <w:rFonts w:ascii="方正仿宋_GBK" w:eastAsia="方正仿宋_GBK" w:cs="Arial" w:hint="eastAsia"/>
          <w:spacing w:val="-4"/>
          <w:sz w:val="32"/>
          <w:szCs w:val="32"/>
          <w:shd w:val="clear" w:color="auto" w:fill="auto"/>
        </w:rPr>
        <w:t>智慧海关门户网站政务地图模块，完成本关办事机构与办事事项的关联设置，为企业</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群众提供直观精准的办事事项</w:t>
      </w:r>
      <w:r>
        <w:rPr>
          <w:rFonts w:ascii="方正仿宋_GBK" w:eastAsia="方正仿宋_GBK" w:cs="Arial"/>
          <w:spacing w:val="-4"/>
          <w:sz w:val="32"/>
          <w:szCs w:val="32"/>
          <w:shd w:val="clear" w:color="auto" w:fill="auto"/>
        </w:rPr>
        <w:t>与</w:t>
      </w:r>
      <w:r>
        <w:rPr>
          <w:rFonts w:ascii="方正仿宋_GBK" w:eastAsia="方正仿宋_GBK" w:cs="Arial" w:hint="eastAsia"/>
          <w:spacing w:val="-4"/>
          <w:sz w:val="32"/>
          <w:szCs w:val="32"/>
          <w:shd w:val="clear" w:color="auto" w:fill="auto"/>
        </w:rPr>
        <w:t>办事机构信息查询服务，提升办事效率。</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422"/>
        <w:rPr>
          <w:rFonts w:ascii="方正仿宋_GBK" w:eastAsia="方正仿宋_GBK" w:cs="Arial"/>
          <w:spacing w:val="-4"/>
          <w:sz w:val="32"/>
          <w:szCs w:val="32"/>
          <w:shd w:val="clear" w:color="auto" w:fill="auto"/>
        </w:rPr>
      </w:pPr>
      <w:r>
        <w:rPr>
          <w:rFonts w:ascii="方正仿宋_GBK" w:eastAsia="方正仿宋_GBK" w:cs="Arial"/>
          <w:spacing w:val="-4"/>
          <w:sz w:val="32"/>
          <w:szCs w:val="32"/>
          <w:shd w:val="clear" w:color="auto" w:fill="auto"/>
        </w:rPr>
        <w:t>（三）着力提升政府信息依申请公开办理质量，以规范流程、提质增效为抓手，推动依申请公开工作高效有序开展。2024年，重庆海关本级共收到依申请公开申请4件，较上年减少9件；严格落实依申请公开办理规范，严把答复质量关，</w:t>
      </w:r>
      <w:r>
        <w:rPr>
          <w:rFonts w:ascii="方正仿宋_GBK" w:eastAsia="方正仿宋_GBK" w:cs="Arial" w:hint="eastAsia"/>
          <w:spacing w:val="-4"/>
          <w:sz w:val="32"/>
          <w:szCs w:val="32"/>
          <w:shd w:val="clear" w:color="auto" w:fill="auto"/>
        </w:rPr>
        <w:t>全年未收到依申请公开的投诉举报和因依申请公开答复不当引发的行政复议和诉讼。</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422"/>
        <w:rPr>
          <w:rFonts w:ascii="方正仿宋_GBK" w:eastAsia="方正仿宋_GBK" w:cs="Arial" w:hint="eastAsia"/>
          <w:bCs/>
          <w:spacing w:val="-4"/>
          <w:sz w:val="32"/>
          <w:szCs w:val="32"/>
          <w:shd w:val="clear" w:color="auto" w:fill="auto"/>
        </w:rPr>
      </w:pPr>
      <w:r>
        <w:rPr>
          <w:rFonts w:ascii="方正仿宋_GBK" w:eastAsia="方正仿宋_GBK" w:cs="Arial"/>
          <w:spacing w:val="-4"/>
          <w:sz w:val="32"/>
          <w:szCs w:val="32"/>
          <w:shd w:val="clear" w:color="auto" w:fill="auto"/>
        </w:rPr>
        <w:t>（四）</w:t>
      </w:r>
      <w:r>
        <w:rPr>
          <w:rFonts w:ascii="方正仿宋_GBK" w:eastAsia="方正仿宋_GBK" w:cs="Arial" w:hint="eastAsia"/>
          <w:spacing w:val="-4"/>
          <w:sz w:val="32"/>
          <w:szCs w:val="32"/>
          <w:shd w:val="clear" w:color="auto" w:fill="auto"/>
        </w:rPr>
        <w:t>扎实</w:t>
      </w:r>
      <w:r>
        <w:rPr>
          <w:rFonts w:ascii="方正仿宋_GBK" w:eastAsia="方正仿宋_GBK" w:cs="Arial"/>
          <w:spacing w:val="-4"/>
          <w:sz w:val="32"/>
          <w:szCs w:val="32"/>
          <w:shd w:val="clear" w:color="auto" w:fill="auto"/>
        </w:rPr>
        <w:t>做好</w:t>
      </w:r>
      <w:r>
        <w:rPr>
          <w:rFonts w:ascii="方正仿宋_GBK" w:eastAsia="方正仿宋_GBK" w:cs="Arial" w:hint="eastAsia"/>
          <w:spacing w:val="-4"/>
          <w:sz w:val="32"/>
          <w:szCs w:val="32"/>
          <w:shd w:val="clear" w:color="auto" w:fill="auto"/>
        </w:rPr>
        <w:t>政府信息管理工作，规范规范性文件公开管理，2025年关区未新增、未废止规范性文件，集中统一公开现行有效规范性文件17件，同步完善文件检索查询功能，优化查阅路径</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充分发挥政务公开目录“导航地图”作用，编制发布《重庆海关政府信息发布目录（2025年版）》，梳理公开内容，全年纳入关区本级公开目录信息7条</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聚焦重要规范性</w:t>
      </w:r>
      <w:r>
        <w:rPr>
          <w:rFonts w:ascii="方正仿宋_GBK" w:eastAsia="方正仿宋_GBK" w:cs="Arial"/>
          <w:spacing w:val="-4"/>
          <w:sz w:val="32"/>
          <w:szCs w:val="32"/>
          <w:shd w:val="clear" w:color="auto" w:fill="auto"/>
        </w:rPr>
        <w:t>政策</w:t>
      </w:r>
      <w:r>
        <w:rPr>
          <w:rFonts w:ascii="方正仿宋_GBK" w:eastAsia="方正仿宋_GBK" w:cs="Arial" w:hint="eastAsia"/>
          <w:spacing w:val="-4"/>
          <w:sz w:val="32"/>
          <w:szCs w:val="32"/>
          <w:shd w:val="clear" w:color="auto" w:fill="auto"/>
        </w:rPr>
        <w:t>文件</w:t>
      </w:r>
      <w:r>
        <w:rPr>
          <w:rFonts w:ascii="方正仿宋_GBK" w:eastAsia="方正仿宋_GBK" w:cs="Arial"/>
          <w:spacing w:val="-4"/>
          <w:sz w:val="32"/>
          <w:szCs w:val="32"/>
          <w:shd w:val="clear" w:color="auto" w:fill="auto"/>
        </w:rPr>
        <w:t>解读</w:t>
      </w:r>
      <w:r>
        <w:rPr>
          <w:rFonts w:ascii="方正仿宋_GBK" w:eastAsia="方正仿宋_GBK" w:cs="Arial" w:hint="eastAsia"/>
          <w:spacing w:val="-4"/>
          <w:sz w:val="32"/>
          <w:szCs w:val="32"/>
          <w:shd w:val="clear" w:color="auto" w:fill="auto"/>
        </w:rPr>
        <w:t>，</w:t>
      </w:r>
      <w:r>
        <w:rPr>
          <w:rFonts w:ascii="方正仿宋_GBK" w:eastAsia="方正仿宋_GBK" w:cs="Arial"/>
          <w:spacing w:val="-4"/>
          <w:sz w:val="32"/>
          <w:szCs w:val="32"/>
          <w:shd w:val="clear" w:color="auto" w:fill="auto"/>
        </w:rPr>
        <w:t>全年</w:t>
      </w:r>
      <w:r>
        <w:rPr>
          <w:rFonts w:ascii="方正仿宋_GBK" w:eastAsia="方正仿宋_GBK" w:cs="Arial" w:hint="eastAsia"/>
          <w:spacing w:val="-4"/>
          <w:sz w:val="32"/>
          <w:szCs w:val="32"/>
          <w:shd w:val="clear" w:color="auto" w:fill="auto"/>
        </w:rPr>
        <w:t>通过网站等平台发布政策解读</w:t>
      </w:r>
      <w:r>
        <w:rPr>
          <w:rFonts w:ascii="方正仿宋_GBK" w:eastAsia="方正仿宋_GBK" w:cs="Arial"/>
          <w:spacing w:val="-4"/>
          <w:sz w:val="32"/>
          <w:szCs w:val="32"/>
          <w:shd w:val="clear" w:color="auto" w:fill="auto"/>
        </w:rPr>
        <w:t>10余篇</w:t>
      </w:r>
      <w:r>
        <w:rPr>
          <w:rFonts w:ascii="方正仿宋_GBK" w:eastAsia="方正仿宋_GBK" w:cs="Arial" w:hint="eastAsia"/>
          <w:spacing w:val="-4"/>
          <w:sz w:val="32"/>
          <w:szCs w:val="32"/>
          <w:shd w:val="clear" w:color="auto" w:fill="auto"/>
        </w:rPr>
        <w:t>。</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422"/>
        <w:rPr>
          <w:rFonts w:ascii="方正仿宋_GBK" w:eastAsia="方正仿宋_GBK" w:cs="Arial" w:hint="eastAsia"/>
          <w:spacing w:val="-4"/>
          <w:sz w:val="32"/>
          <w:szCs w:val="32"/>
          <w:shd w:val="clear" w:color="auto" w:fill="auto"/>
        </w:rPr>
      </w:pPr>
      <w:r>
        <w:rPr>
          <w:rFonts w:ascii="方正仿宋_GBK" w:eastAsia="方正仿宋_GBK" w:cs="Arial"/>
          <w:spacing w:val="-4"/>
          <w:sz w:val="32"/>
          <w:szCs w:val="32"/>
          <w:shd w:val="clear" w:color="auto" w:fill="auto"/>
        </w:rPr>
        <w:t>（五）</w:t>
      </w:r>
      <w:r>
        <w:rPr>
          <w:rFonts w:ascii="方正仿宋_GBK" w:eastAsia="方正仿宋_GBK" w:cs="Arial" w:hint="eastAsia"/>
          <w:spacing w:val="-4"/>
          <w:sz w:val="32"/>
          <w:szCs w:val="32"/>
          <w:shd w:val="clear" w:color="auto" w:fill="auto"/>
        </w:rPr>
        <w:t>持续优化政务公开平台建设，筑牢传统阵地、</w:t>
      </w:r>
      <w:r>
        <w:rPr>
          <w:rFonts w:ascii="方正仿宋_GBK" w:eastAsia="方正仿宋_GBK" w:cs="Arial"/>
          <w:spacing w:val="-4"/>
          <w:sz w:val="32"/>
          <w:szCs w:val="32"/>
          <w:shd w:val="clear" w:color="auto" w:fill="auto"/>
        </w:rPr>
        <w:t>激发</w:t>
      </w:r>
      <w:r>
        <w:rPr>
          <w:rFonts w:ascii="方正仿宋_GBK" w:eastAsia="方正仿宋_GBK" w:cs="Arial" w:hint="eastAsia"/>
          <w:spacing w:val="-4"/>
          <w:sz w:val="32"/>
          <w:szCs w:val="32"/>
          <w:shd w:val="clear" w:color="auto" w:fill="auto"/>
        </w:rPr>
        <w:t>新媒体载体</w:t>
      </w:r>
      <w:r>
        <w:rPr>
          <w:rFonts w:ascii="方正仿宋_GBK" w:eastAsia="方正仿宋_GBK" w:cs="Arial"/>
          <w:spacing w:val="-4"/>
          <w:sz w:val="32"/>
          <w:szCs w:val="32"/>
          <w:shd w:val="clear" w:color="auto" w:fill="auto"/>
        </w:rPr>
        <w:t>活力</w:t>
      </w:r>
      <w:r>
        <w:rPr>
          <w:rFonts w:ascii="方正仿宋_GBK" w:eastAsia="方正仿宋_GBK" w:cs="Arial" w:hint="eastAsia"/>
          <w:spacing w:val="-4"/>
          <w:sz w:val="32"/>
          <w:szCs w:val="32"/>
          <w:shd w:val="clear" w:color="auto" w:fill="auto"/>
        </w:rPr>
        <w:t>，</w:t>
      </w:r>
      <w:r>
        <w:rPr>
          <w:rFonts w:ascii="方正仿宋_GBK" w:eastAsia="方正仿宋_GBK" w:cs="Arial"/>
          <w:spacing w:val="-4"/>
          <w:sz w:val="32"/>
          <w:szCs w:val="32"/>
          <w:shd w:val="clear" w:color="auto" w:fill="auto"/>
        </w:rPr>
        <w:t>打通</w:t>
      </w:r>
      <w:r>
        <w:rPr>
          <w:rFonts w:ascii="方正仿宋_GBK" w:eastAsia="方正仿宋_GBK" w:cs="Arial" w:hint="eastAsia"/>
          <w:spacing w:val="-4"/>
          <w:sz w:val="32"/>
          <w:szCs w:val="32"/>
          <w:shd w:val="clear" w:color="auto" w:fill="auto"/>
        </w:rPr>
        <w:t>线上线下联动、多渠道协同的公开</w:t>
      </w:r>
      <w:r>
        <w:rPr>
          <w:rFonts w:ascii="方正仿宋_GBK" w:eastAsia="方正仿宋_GBK" w:cs="Arial"/>
          <w:spacing w:val="-4"/>
          <w:sz w:val="32"/>
          <w:szCs w:val="32"/>
          <w:shd w:val="clear" w:color="auto" w:fill="auto"/>
        </w:rPr>
        <w:t>路径</w:t>
      </w:r>
      <w:r>
        <w:rPr>
          <w:rFonts w:ascii="方正仿宋_GBK" w:eastAsia="方正仿宋_GBK" w:cs="Arial" w:hint="eastAsia"/>
          <w:spacing w:val="-4"/>
          <w:sz w:val="32"/>
          <w:szCs w:val="32"/>
          <w:shd w:val="clear" w:color="auto" w:fill="auto"/>
        </w:rPr>
        <w:t>，提升政务公开覆盖面与实效性。一方面深耕传统平台主阵地，巩固</w:t>
      </w:r>
      <w:r>
        <w:rPr>
          <w:rFonts w:ascii="方正仿宋_GBK" w:eastAsia="方正仿宋_GBK" w:cs="Arial"/>
          <w:spacing w:val="-4"/>
          <w:sz w:val="32"/>
          <w:szCs w:val="32"/>
          <w:shd w:val="clear" w:color="auto" w:fill="auto"/>
        </w:rPr>
        <w:t>完善</w:t>
      </w:r>
      <w:r>
        <w:rPr>
          <w:rFonts w:ascii="方正仿宋_GBK" w:eastAsia="方正仿宋_GBK" w:cs="Arial" w:hint="eastAsia"/>
          <w:spacing w:val="-4"/>
          <w:sz w:val="32"/>
          <w:szCs w:val="32"/>
          <w:shd w:val="clear" w:color="auto" w:fill="auto"/>
        </w:rPr>
        <w:t>重庆海关网站功能，全年总访问量达1838万余次，高效传递政务信息</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通过网站发布通知公告、财政信息、办事指南等政务服务内容1654条，常态化开展关长接待日12期，畅通政企沟通渠道；高效回应群众诉求，办结网站交流互动业务咨询205条、公开158条，处理关长信箱、信访留言等37条，全部在3个工作日内办结，保障诉求快速响应；组织网上问卷调查6期，全程公开意见征集办理情况，主动接受社会监督。另一方面激活政务新媒体“第二阵地”效能，聚焦政策解读、通知公告、办事指南等核心内容，全年发布各类信息75期，以轻量便捷</w:t>
      </w:r>
      <w:r>
        <w:rPr>
          <w:rFonts w:ascii="方正仿宋_GBK" w:eastAsia="方正仿宋_GBK" w:cs="Arial"/>
          <w:spacing w:val="-4"/>
          <w:sz w:val="32"/>
          <w:szCs w:val="32"/>
          <w:shd w:val="clear" w:color="auto" w:fill="auto"/>
        </w:rPr>
        <w:t>的</w:t>
      </w:r>
      <w:r>
        <w:rPr>
          <w:rFonts w:ascii="方正仿宋_GBK" w:eastAsia="方正仿宋_GBK" w:cs="Arial" w:hint="eastAsia"/>
          <w:spacing w:val="-4"/>
          <w:sz w:val="32"/>
          <w:szCs w:val="32"/>
          <w:shd w:val="clear" w:color="auto" w:fill="auto"/>
        </w:rPr>
        <w:t>形式</w:t>
      </w:r>
      <w:r>
        <w:rPr>
          <w:rFonts w:ascii="方正仿宋_GBK" w:eastAsia="方正仿宋_GBK" w:cs="Arial"/>
          <w:spacing w:val="-4"/>
          <w:sz w:val="32"/>
          <w:szCs w:val="32"/>
          <w:shd w:val="clear" w:color="auto" w:fill="auto"/>
        </w:rPr>
        <w:t>回应企业群众需求</w:t>
      </w:r>
      <w:r>
        <w:rPr>
          <w:rFonts w:ascii="方正仿宋_GBK" w:eastAsia="方正仿宋_GBK" w:cs="Arial" w:hint="eastAsia"/>
          <w:spacing w:val="-4"/>
          <w:sz w:val="32"/>
          <w:szCs w:val="32"/>
          <w:shd w:val="clear" w:color="auto" w:fill="auto"/>
        </w:rPr>
        <w:t>，拓宽政务公开传播渠道</w:t>
      </w:r>
      <w:r>
        <w:rPr>
          <w:rFonts w:ascii="方正仿宋_GBK" w:eastAsia="方正仿宋_GBK" w:cs="Arial"/>
          <w:spacing w:val="-4"/>
          <w:sz w:val="32"/>
          <w:szCs w:val="32"/>
          <w:shd w:val="clear" w:color="auto" w:fill="auto"/>
        </w:rPr>
        <w:t>，</w:t>
      </w:r>
      <w:r>
        <w:rPr>
          <w:rFonts w:ascii="方正仿宋_GBK" w:eastAsia="方正仿宋_GBK" w:cs="Arial" w:hint="eastAsia"/>
          <w:spacing w:val="-4"/>
          <w:sz w:val="32"/>
          <w:szCs w:val="32"/>
          <w:shd w:val="clear" w:color="auto" w:fill="auto"/>
        </w:rPr>
        <w:t>提升了信息触达率与服务便捷度，切实为企业群众提供优质高效的政务公开服务</w:t>
      </w:r>
      <w:r>
        <w:rPr>
          <w:rFonts w:ascii="方正仿宋_GBK" w:eastAsia="方正仿宋_GBK" w:cs="Arial"/>
          <w:spacing w:val="-4"/>
          <w:sz w:val="32"/>
          <w:szCs w:val="32"/>
          <w:shd w:val="clear" w:color="auto" w:fill="auto"/>
        </w:rPr>
        <w:t>。</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Chars="200" w:firstLine="640"/>
        <w:rPr>
          <w:rStyle w:val="0"/>
          <w:rFonts w:ascii="方正黑体_GBK" w:eastAsia="方正黑体_GBK" w:cs="楷体_GB2312" w:hint="eastAsia"/>
          <w:bCs/>
          <w:kern w:val="0"/>
          <w:sz w:val="32"/>
          <w:szCs w:val="32"/>
          <w:shd w:val="clear" w:color="auto" w:fill="FFFFFF"/>
        </w:rPr>
      </w:pPr>
      <w:r>
        <w:rPr>
          <w:rStyle w:val="0"/>
          <w:rFonts w:ascii="方正黑体_GBK" w:eastAsia="方正黑体_GBK" w:cs="楷体_GB2312" w:hint="eastAsia"/>
          <w:bCs/>
          <w:kern w:val="0"/>
          <w:sz w:val="32"/>
          <w:szCs w:val="32"/>
          <w:shd w:val="clear" w:color="auto" w:fill="FFFFFF"/>
        </w:rPr>
        <w:t>二、主动公开政府信息情况</w:t>
      </w:r>
    </w:p>
    <w:tbl>
      <w:tblPr>
        <w:jc w:val="lef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30" w:type="dxa"/>
          <w:left w:w="30" w:type="dxa"/>
          <w:bottom w:w="30" w:type="dxa"/>
          <w:right w:w="30" w:type="dxa"/>
        </w:tblCellMar>
      </w:tblPr>
      <w:tblGrid>
        <w:gridCol w:w="2524"/>
        <w:gridCol w:w="2036"/>
        <w:gridCol w:w="1799"/>
        <w:gridCol w:w="2008"/>
      </w:tblGrid>
      <w:tr>
        <w:tc>
          <w:tcPr>
            <w:tcW w:w="8367"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第二十条第（一）项</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信息内容</w:t>
            </w:r>
          </w:p>
        </w:tc>
        <w:tc>
          <w:tcPr>
            <w:tcW w:w="2036"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本年制发件数</w:t>
            </w:r>
          </w:p>
        </w:tc>
        <w:tc>
          <w:tcPr>
            <w:tcW w:w="1799"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本年废止件数</w:t>
            </w:r>
          </w:p>
        </w:tc>
        <w:tc>
          <w:tcPr>
            <w:tcW w:w="2008"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现行有效件数</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规章</w:t>
            </w:r>
          </w:p>
        </w:tc>
        <w:tc>
          <w:tcPr>
            <w:tcW w:w="20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1799"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2008"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行政规范性文件</w:t>
            </w:r>
          </w:p>
        </w:tc>
        <w:tc>
          <w:tcPr>
            <w:tcW w:w="20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1799"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2008"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17</w:t>
            </w:r>
          </w:p>
        </w:tc>
      </w:tr>
      <w:tr>
        <w:tc>
          <w:tcPr>
            <w:tcW w:w="8367" w:type="dxa"/>
            <w:gridSpan w:val="4"/>
            <w:tcBorders>
              <w:top w:val="nil"/>
              <w:left w:val="single" w:sz="6" w:space="0" w:color="auto"/>
              <w:bottom w:val="single" w:sz="6" w:space="0" w:color="auto"/>
              <w:right w:val="single" w:sz="6" w:space="0" w:color="auto"/>
              <w:tl2br w:val="nil"/>
              <w:tr2bl w:val="nil"/>
            </w:tcBorders>
            <w:shd w:val="clear" w:color="auto" w:fill="C6D9F1"/>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第二十条第（五）项</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信息内容</w:t>
            </w:r>
          </w:p>
        </w:tc>
        <w:tc>
          <w:tcPr>
            <w:tcW w:w="5843" w:type="dxa"/>
            <w:gridSpan w:val="3"/>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本年处理决定数量</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行政许可</w:t>
            </w:r>
          </w:p>
        </w:tc>
        <w:tc>
          <w:tcPr>
            <w:tcW w:w="5843" w:type="dxa"/>
            <w:gridSpan w:val="3"/>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517</w:t>
            </w:r>
          </w:p>
        </w:tc>
      </w:tr>
      <w:tr>
        <w:tc>
          <w:tcPr>
            <w:tcW w:w="8367" w:type="dxa"/>
            <w:gridSpan w:val="4"/>
            <w:tcBorders>
              <w:top w:val="nil"/>
              <w:left w:val="single" w:sz="6" w:space="0" w:color="auto"/>
              <w:bottom w:val="single" w:sz="6" w:space="0" w:color="auto"/>
              <w:right w:val="single" w:sz="6" w:space="0" w:color="auto"/>
              <w:tl2br w:val="nil"/>
              <w:tr2bl w:val="nil"/>
            </w:tcBorders>
            <w:shd w:val="clear" w:color="auto" w:fill="C6D9F1"/>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第二十条第（六）项</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信息内容</w:t>
            </w:r>
          </w:p>
        </w:tc>
        <w:tc>
          <w:tcPr>
            <w:tcW w:w="5843" w:type="dxa"/>
            <w:gridSpan w:val="3"/>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本年处理决定数量</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行政处罚</w:t>
            </w:r>
          </w:p>
        </w:tc>
        <w:tc>
          <w:tcPr>
            <w:tcW w:w="5843" w:type="dxa"/>
            <w:gridSpan w:val="3"/>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行政强制</w:t>
            </w:r>
          </w:p>
        </w:tc>
        <w:tc>
          <w:tcPr>
            <w:tcW w:w="5843" w:type="dxa"/>
            <w:gridSpan w:val="3"/>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8367" w:type="dxa"/>
            <w:gridSpan w:val="4"/>
            <w:tcBorders>
              <w:top w:val="nil"/>
              <w:left w:val="single" w:sz="6" w:space="0" w:color="auto"/>
              <w:bottom w:val="single" w:sz="6" w:space="0" w:color="auto"/>
              <w:right w:val="single" w:sz="6" w:space="0" w:color="auto"/>
              <w:tl2br w:val="nil"/>
              <w:tr2bl w:val="nil"/>
            </w:tcBorders>
            <w:shd w:val="clear" w:color="auto" w:fill="C6D9F1"/>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第二十条第（八）项</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信息内容</w:t>
            </w:r>
          </w:p>
        </w:tc>
        <w:tc>
          <w:tcPr>
            <w:tcW w:w="5843" w:type="dxa"/>
            <w:gridSpan w:val="3"/>
            <w:tcBorders>
              <w:top w:val="nil"/>
              <w:left w:val="nil"/>
              <w:bottom w:val="single" w:sz="6" w:space="0" w:color="auto"/>
              <w:right w:val="single" w:sz="6" w:space="0" w:color="000000"/>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本年收费金额（单位：万元）</w:t>
            </w:r>
          </w:p>
        </w:tc>
      </w:tr>
      <w:tr>
        <w:tc>
          <w:tcPr>
            <w:tcW w:w="2524"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行政事业性收费</w:t>
            </w:r>
          </w:p>
        </w:tc>
        <w:tc>
          <w:tcPr>
            <w:tcW w:w="5843" w:type="dxa"/>
            <w:gridSpan w:val="3"/>
            <w:tcBorders>
              <w:top w:val="nil"/>
              <w:left w:val="nil"/>
              <w:bottom w:val="single" w:sz="6" w:space="0" w:color="auto"/>
              <w:right w:val="single" w:sz="6" w:space="0" w:color="000000"/>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bl>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Style w:val="0"/>
          <w:rFonts w:ascii="方正黑体_GBK" w:eastAsia="方正黑体_GBK" w:cs="楷体_GB2312" w:hint="eastAsia"/>
          <w:bCs/>
          <w:kern w:val="0"/>
          <w:sz w:val="32"/>
          <w:szCs w:val="32"/>
          <w:shd w:val="clear" w:color="auto" w:fill="FFFFFF"/>
        </w:rPr>
      </w:pPr>
      <w:r>
        <w:rPr>
          <w:rStyle w:val="0"/>
          <w:rFonts w:ascii="方正黑体_GBK" w:eastAsia="方正黑体_GBK" w:cs="楷体_GB2312" w:hint="eastAsia"/>
          <w:bCs/>
          <w:kern w:val="0"/>
          <w:sz w:val="32"/>
          <w:szCs w:val="32"/>
          <w:shd w:val="clear" w:color="auto" w:fill="FFFFFF"/>
        </w:rPr>
        <w:t>　　三、收到和处理政府信息公开申请情况</w:t>
      </w:r>
    </w:p>
    <w:tbl>
      <w:tblPr>
        <w:jc w:val="lef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30" w:type="dxa"/>
          <w:left w:w="30" w:type="dxa"/>
          <w:bottom w:w="30" w:type="dxa"/>
          <w:right w:w="30" w:type="dxa"/>
        </w:tblCellMar>
      </w:tblPr>
      <w:tblGrid>
        <w:gridCol w:w="636"/>
        <w:gridCol w:w="857"/>
        <w:gridCol w:w="2476"/>
        <w:gridCol w:w="581"/>
        <w:gridCol w:w="622"/>
        <w:gridCol w:w="691"/>
        <w:gridCol w:w="705"/>
        <w:gridCol w:w="705"/>
        <w:gridCol w:w="458"/>
        <w:gridCol w:w="636"/>
      </w:tblGrid>
      <w:tr>
        <w:trPr>
          <w:tblHeader/>
        </w:trPr>
        <w:tc>
          <w:tcPr>
            <w:tcW w:w="3969"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（本列数据的勾稽关系为：第一项加第二项之和，等于第三项加第四项之和）</w:t>
            </w:r>
          </w:p>
        </w:tc>
        <w:tc>
          <w:tcPr>
            <w:tcW w:w="4398" w:type="dxa"/>
            <w:gridSpan w:val="7"/>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申请人情况</w:t>
            </w:r>
          </w:p>
        </w:tc>
      </w:tr>
      <w:tr>
        <w:trPr>
          <w:tblHeader/>
        </w:trPr>
        <w:tc>
          <w:tcPr>
            <w:tcW w:w="3969"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tc>
        <w:tc>
          <w:tcPr>
            <w:tcW w:w="581"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自然人</w:t>
            </w:r>
          </w:p>
        </w:tc>
        <w:tc>
          <w:tcPr>
            <w:tcW w:w="3181" w:type="dxa"/>
            <w:gridSpan w:val="5"/>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法人或其他组织</w:t>
            </w:r>
          </w:p>
        </w:tc>
        <w:tc>
          <w:tcPr>
            <w:tcW w:w="636" w:type="dxa"/>
            <w:vMerge w:val="restart"/>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总计</w:t>
            </w:r>
          </w:p>
        </w:tc>
      </w:tr>
      <w:tr>
        <w:trPr>
          <w:tblHeader/>
        </w:trPr>
        <w:tc>
          <w:tcPr>
            <w:tcW w:w="3969"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tc>
        <w:tc>
          <w:tcPr>
            <w:tcW w:w="581" w:type="dxa"/>
            <w:vMerge/>
            <w:tcBorders>
              <w:top w:val="nil"/>
              <w:left w:val="nil"/>
              <w:bottom w:val="single" w:sz="6" w:space="0" w:color="auto"/>
              <w:right w:val="single" w:sz="6" w:space="0" w:color="auto"/>
              <w:tl2br w:val="nil"/>
              <w:tr2bl w:val="nil"/>
            </w:tcBorders>
            <w:shd w:val="clear" w:color="auto" w:fill="auto"/>
            <w:vAlign w:val="center"/>
          </w:tcP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商业企业</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科研机构</w:t>
            </w:r>
          </w:p>
        </w:tc>
        <w:tc>
          <w:tcPr>
            <w:tcW w:w="705"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社会公益组织</w:t>
            </w:r>
          </w:p>
        </w:tc>
        <w:tc>
          <w:tcPr>
            <w:tcW w:w="705"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法律服务机构</w:t>
            </w:r>
          </w:p>
        </w:tc>
        <w:tc>
          <w:tcPr>
            <w:tcW w:w="456"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bCs w:val="0"/>
                <w:i w:val="0"/>
                <w:iCs w:val="0"/>
                <w:caps w:val="0"/>
                <w:smallCaps w:val="0"/>
                <w:vanish w:val="0"/>
                <w:color w:val="222222"/>
                <w:spacing w:val="0"/>
                <w:sz w:val="21"/>
                <w:szCs w:val="21"/>
              </w:rPr>
            </w:pPr>
            <w:r>
              <w:rPr>
                <w:rFonts w:ascii="Arial" w:hAnsi="Arial"/>
                <w:b/>
                <w:bCs w:val="0"/>
                <w:i w:val="0"/>
                <w:iCs w:val="0"/>
                <w:caps w:val="0"/>
                <w:smallCaps w:val="0"/>
                <w:vanish w:val="0"/>
                <w:color w:val="222222"/>
                <w:spacing w:val="0"/>
                <w:sz w:val="21"/>
                <w:szCs w:val="21"/>
              </w:rPr>
              <w:t>其他</w:t>
            </w:r>
          </w:p>
        </w:tc>
        <w:tc>
          <w:tcPr>
            <w:tcW w:w="636" w:type="dxa"/>
            <w:vMerge/>
            <w:tcBorders>
              <w:top w:val="single" w:sz="6" w:space="0" w:color="auto"/>
              <w:left w:val="nil"/>
              <w:bottom w:val="single" w:sz="6" w:space="0" w:color="auto"/>
              <w:right w:val="single" w:sz="6" w:space="0" w:color="auto"/>
              <w:tl2br w:val="nil"/>
              <w:tr2bl w:val="nil"/>
            </w:tcBorders>
            <w:shd w:val="clear" w:color="auto" w:fill="auto"/>
            <w:vAlign w:val="center"/>
          </w:tcPr>
          <w:p/>
        </w:tc>
      </w:tr>
      <w:tr>
        <w:tc>
          <w:tcPr>
            <w:tcW w:w="3969" w:type="dxa"/>
            <w:gridSpan w:val="3"/>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一、本年新收政府信息公开申请数量</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w:t>
            </w:r>
          </w:p>
        </w:tc>
      </w:tr>
      <w:tr>
        <w:tc>
          <w:tcPr>
            <w:tcW w:w="3969" w:type="dxa"/>
            <w:gridSpan w:val="3"/>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二、上年结转政府信息公开申请数量</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val="restart"/>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三、本年度办理结果</w:t>
            </w:r>
          </w:p>
        </w:tc>
        <w:tc>
          <w:tcPr>
            <w:tcW w:w="3333" w:type="dxa"/>
            <w:gridSpan w:val="2"/>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（一）予以公开</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3333" w:type="dxa"/>
            <w:gridSpan w:val="2"/>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（二）部分公开（区分处理的，只计这一情形，不计其他情形）</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（三）不予公开</w:t>
            </w: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1.属于国家秘密</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2.其他法律行政法规禁止公开</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3.危及“三安全一稳定”</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4.保护第三方合法权益</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5.属于三类内部事务信息</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6.属于四类过程性信息</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7.属于行政执法案卷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8.属于行政查询事项</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（四）无法提供</w:t>
            </w: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1.本机关不掌握相关政府信息</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2.没有现成信息需要另行制作</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3.补正后申请内容仍不明确</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（五）不予处理</w:t>
            </w: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1.信访举报投诉类申请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2.重复申请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3.要求提供公开出版物</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4.无正当理由大量反复申请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5.要求行政机关确认或重新出具已获取信息</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（六）其他处理</w:t>
            </w:r>
          </w:p>
        </w:tc>
        <w:tc>
          <w:tcPr>
            <w:tcW w:w="2475"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1.申请人无正当理由逾期不补正、行政机关不再处理其政府信息公开申请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2.申请人逾期未按收费通知要求缴纳费用、行政机关不再处理其政府信息公开申请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3.咨询事项，指引咨询渠道</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857" w:type="dxa"/>
            <w:vMerge/>
            <w:tcBorders>
              <w:top w:val="nil"/>
              <w:left w:val="nil"/>
              <w:bottom w:val="single" w:sz="6" w:space="0" w:color="auto"/>
              <w:right w:val="single" w:sz="6" w:space="0" w:color="auto"/>
              <w:tl2br w:val="nil"/>
              <w:tr2bl w:val="nil"/>
            </w:tcBorders>
            <w:shd w:val="clear" w:color="auto" w:fill="auto"/>
            <w:vAlign w:val="center"/>
          </w:tcPr>
          <w:p/>
        </w:tc>
        <w:tc>
          <w:tcPr>
            <w:tcW w:w="2475"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4.申请人撤销申请</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r>
        <w:tc>
          <w:tcPr>
            <w:tcW w:w="636"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3333" w:type="dxa"/>
            <w:gridSpan w:val="2"/>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（七）总计</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4</w:t>
            </w:r>
          </w:p>
        </w:tc>
      </w:tr>
      <w:tr>
        <w:tc>
          <w:tcPr>
            <w:tcW w:w="3969" w:type="dxa"/>
            <w:gridSpan w:val="3"/>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四、结转下年度继续办理</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9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705"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45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36"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bl>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Fonts w:ascii="Arial" w:hAnsi="Arial"/>
          <w:b w:val="0"/>
          <w:bCs w:val="0"/>
          <w:i w:val="0"/>
          <w:iCs w:val="0"/>
          <w:caps w:val="0"/>
          <w:smallCaps w:val="0"/>
          <w:vanish w:val="0"/>
          <w:color w:val="222222"/>
          <w:spacing w:val="0"/>
          <w:sz w:val="21"/>
          <w:szCs w:val="21"/>
        </w:rPr>
      </w:pPr>
      <w:r>
        <w:rPr>
          <w:rStyle w:val="18"/>
          <w:rFonts w:ascii="Arial" w:hAnsi="Arial"/>
          <w:b w:val="0"/>
          <w:bCs w:val="0"/>
          <w:i w:val="0"/>
          <w:iCs w:val="0"/>
          <w:caps w:val="0"/>
          <w:smallCaps w:val="0"/>
          <w:vanish w:val="0"/>
          <w:color w:val="222222"/>
          <w:spacing w:val="0"/>
          <w:sz w:val="21"/>
          <w:szCs w:val="21"/>
        </w:rPr>
        <w:t>　</w:t>
      </w:r>
      <w:r>
        <w:rPr>
          <w:rStyle w:val="0"/>
          <w:rFonts w:ascii="方正黑体_GBK" w:eastAsia="方正黑体_GBK" w:cs="楷体_GB2312" w:hint="eastAsia"/>
          <w:bCs/>
          <w:kern w:val="0"/>
          <w:sz w:val="32"/>
          <w:szCs w:val="32"/>
          <w:shd w:val="clear" w:color="auto" w:fill="FFFFFF"/>
        </w:rPr>
        <w:t>　四、政府信息公开行政复议、行政诉讼情况</w:t>
      </w:r>
    </w:p>
    <w:tbl>
      <w:tblPr>
        <w:jc w:val="lef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30" w:type="dxa"/>
          <w:left w:w="30" w:type="dxa"/>
          <w:bottom w:w="30" w:type="dxa"/>
          <w:right w:w="30" w:type="dxa"/>
        </w:tblCellMar>
      </w:tblPr>
      <w:tblGrid>
        <w:gridCol w:w="553"/>
        <w:gridCol w:w="553"/>
        <w:gridCol w:w="553"/>
        <w:gridCol w:w="553"/>
        <w:gridCol w:w="623"/>
        <w:gridCol w:w="512"/>
        <w:gridCol w:w="553"/>
        <w:gridCol w:w="553"/>
        <w:gridCol w:w="553"/>
        <w:gridCol w:w="567"/>
        <w:gridCol w:w="553"/>
        <w:gridCol w:w="553"/>
        <w:gridCol w:w="553"/>
        <w:gridCol w:w="553"/>
        <w:gridCol w:w="582"/>
      </w:tblGrid>
      <w:tr>
        <w:tc>
          <w:tcPr>
            <w:tcW w:w="2835"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行政复议</w:t>
            </w:r>
          </w:p>
        </w:tc>
        <w:tc>
          <w:tcPr>
            <w:tcW w:w="5532" w:type="dxa"/>
            <w:gridSpan w:val="10"/>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行政诉讼</w:t>
            </w:r>
          </w:p>
        </w:tc>
      </w:tr>
      <w:tr>
        <w:tc>
          <w:tcPr>
            <w:tcW w:w="553" w:type="dxa"/>
            <w:vMerge w:val="restart"/>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结果维持</w:t>
            </w:r>
          </w:p>
        </w:tc>
        <w:tc>
          <w:tcPr>
            <w:tcW w:w="553" w:type="dxa"/>
            <w:vMerge w:val="restart"/>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结果纠正</w:t>
            </w:r>
          </w:p>
        </w:tc>
        <w:tc>
          <w:tcPr>
            <w:tcW w:w="553" w:type="dxa"/>
            <w:vMerge w:val="restart"/>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其他结果</w:t>
            </w:r>
          </w:p>
        </w:tc>
        <w:tc>
          <w:tcPr>
            <w:tcW w:w="553" w:type="dxa"/>
            <w:vMerge w:val="restart"/>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尚未审结</w:t>
            </w:r>
          </w:p>
        </w:tc>
        <w:tc>
          <w:tcPr>
            <w:tcW w:w="622" w:type="dxa"/>
            <w:vMerge w:val="restart"/>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总计</w:t>
            </w:r>
          </w:p>
        </w:tc>
        <w:tc>
          <w:tcPr>
            <w:tcW w:w="2738" w:type="dxa"/>
            <w:gridSpan w:val="5"/>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未经复议直接起诉</w:t>
            </w:r>
          </w:p>
        </w:tc>
        <w:tc>
          <w:tcPr>
            <w:tcW w:w="2793" w:type="dxa"/>
            <w:gridSpan w:val="5"/>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复议后起诉</w:t>
            </w:r>
          </w:p>
        </w:tc>
      </w:tr>
      <w:tr>
        <w:tc>
          <w:tcPr>
            <w:tcW w:w="553" w:type="dxa"/>
            <w:vMerge/>
            <w:tcBorders>
              <w:top w:val="nil"/>
              <w:left w:val="single" w:sz="6" w:space="0" w:color="auto"/>
              <w:bottom w:val="single" w:sz="6" w:space="0" w:color="auto"/>
              <w:right w:val="single" w:sz="6" w:space="0" w:color="auto"/>
              <w:tl2br w:val="nil"/>
              <w:tr2bl w:val="nil"/>
            </w:tcBorders>
            <w:shd w:val="clear" w:color="auto" w:fill="auto"/>
            <w:vAlign w:val="center"/>
          </w:tcPr>
          <w:p/>
        </w:tc>
        <w:tc>
          <w:tcPr>
            <w:tcW w:w="553" w:type="dxa"/>
            <w:vMerge/>
            <w:tcBorders>
              <w:top w:val="nil"/>
              <w:left w:val="nil"/>
              <w:bottom w:val="single" w:sz="6" w:space="0" w:color="auto"/>
              <w:right w:val="single" w:sz="6" w:space="0" w:color="auto"/>
              <w:tl2br w:val="nil"/>
              <w:tr2bl w:val="nil"/>
            </w:tcBorders>
            <w:shd w:val="clear" w:color="auto" w:fill="auto"/>
            <w:vAlign w:val="center"/>
          </w:tcPr>
          <w:p/>
        </w:tc>
        <w:tc>
          <w:tcPr>
            <w:tcW w:w="553" w:type="dxa"/>
            <w:vMerge/>
            <w:tcBorders>
              <w:top w:val="single" w:sz="6" w:space="0" w:color="auto"/>
              <w:left w:val="nil"/>
              <w:bottom w:val="single" w:sz="6" w:space="0" w:color="auto"/>
              <w:right w:val="single" w:sz="6" w:space="0" w:color="auto"/>
              <w:tl2br w:val="nil"/>
              <w:tr2bl w:val="nil"/>
            </w:tcBorders>
            <w:shd w:val="clear" w:color="auto" w:fill="auto"/>
            <w:vAlign w:val="center"/>
          </w:tcPr>
          <w:p/>
        </w:tc>
        <w:tc>
          <w:tcPr>
            <w:tcW w:w="553" w:type="dxa"/>
            <w:vMerge/>
            <w:tcBorders>
              <w:top w:val="single" w:sz="6" w:space="0" w:color="auto"/>
              <w:left w:val="nil"/>
              <w:bottom w:val="single" w:sz="6" w:space="0" w:color="auto"/>
              <w:right w:val="single" w:sz="6" w:space="0" w:color="auto"/>
              <w:tl2br w:val="nil"/>
              <w:tr2bl w:val="nil"/>
            </w:tcBorders>
            <w:shd w:val="clear" w:color="auto" w:fill="auto"/>
            <w:vAlign w:val="center"/>
          </w:tcPr>
          <w:p/>
        </w:tc>
        <w:tc>
          <w:tcPr>
            <w:tcW w:w="622" w:type="dxa"/>
            <w:vMerge/>
            <w:tcBorders>
              <w:top w:val="single" w:sz="6" w:space="0" w:color="auto"/>
              <w:left w:val="nil"/>
              <w:bottom w:val="single" w:sz="6" w:space="0" w:color="auto"/>
              <w:right w:val="single" w:sz="6" w:space="0" w:color="auto"/>
              <w:tl2br w:val="nil"/>
              <w:tr2bl w:val="nil"/>
            </w:tcBorders>
            <w:shd w:val="clear" w:color="auto" w:fill="auto"/>
            <w:vAlign w:val="center"/>
          </w:tcPr>
          <w:p/>
        </w:tc>
        <w:tc>
          <w:tcPr>
            <w:tcW w:w="51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结果维持</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结果纠正</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其他结果</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尚未审结</w:t>
            </w:r>
          </w:p>
        </w:tc>
        <w:tc>
          <w:tcPr>
            <w:tcW w:w="567"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总计</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结果维持</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结果纠正</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其他结果</w:t>
            </w:r>
          </w:p>
        </w:tc>
        <w:tc>
          <w:tcPr>
            <w:tcW w:w="553"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尚未审结</w:t>
            </w:r>
          </w:p>
        </w:tc>
        <w:tc>
          <w:tcPr>
            <w:tcW w:w="581" w:type="dxa"/>
            <w:tcBorders>
              <w:top w:val="single" w:sz="6" w:space="0" w:color="auto"/>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总计</w:t>
            </w:r>
          </w:p>
        </w:tc>
      </w:tr>
      <w:tr>
        <w:tc>
          <w:tcPr>
            <w:tcW w:w="553" w:type="dxa"/>
            <w:tcBorders>
              <w:top w:val="nil"/>
              <w:left w:val="single" w:sz="6" w:space="0" w:color="auto"/>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62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1</w:t>
            </w:r>
          </w:p>
        </w:tc>
        <w:tc>
          <w:tcPr>
            <w:tcW w:w="512"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67"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53"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c>
          <w:tcPr>
            <w:tcW w:w="581" w:type="dxa"/>
            <w:tcBorders>
              <w:top w:val="nil"/>
              <w:left w:val="nil"/>
              <w:bottom w:val="single" w:sz="6" w:space="0" w:color="auto"/>
              <w:right w:val="single" w:sz="6" w:space="0" w:color="auto"/>
              <w:tl2br w:val="nil"/>
              <w:tr2bl w:val="nil"/>
            </w:tcBorders>
            <w:shd w:val="clear" w:color="auto" w:fill="auto"/>
            <w:vAlign w:val="center"/>
          </w:tcPr>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left="0"/>
              <w:jc w:val="center"/>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0</w:t>
            </w:r>
          </w:p>
        </w:tc>
      </w:tr>
    </w:tbl>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0"/>
        <w:rPr>
          <w:rFonts w:ascii="Arial" w:hAnsi="Arial"/>
          <w:b w:val="0"/>
          <w:bCs w:val="0"/>
          <w:i w:val="0"/>
          <w:iCs w:val="0"/>
          <w:caps w:val="0"/>
          <w:smallCaps w:val="0"/>
          <w:vanish w:val="0"/>
          <w:color w:val="222222"/>
          <w:spacing w:val="0"/>
          <w:sz w:val="21"/>
          <w:szCs w:val="21"/>
        </w:rPr>
      </w:pPr>
      <w:bookmarkStart w:id="0" w:name="_GoBack"/>
      <w:r>
        <w:rPr>
          <w:rStyle w:val="18"/>
          <w:rFonts w:ascii="Arial" w:hAnsi="Arial"/>
          <w:b w:val="0"/>
          <w:bCs w:val="0"/>
          <w:i w:val="0"/>
          <w:iCs w:val="0"/>
          <w:caps w:val="0"/>
          <w:smallCaps w:val="0"/>
          <w:vanish w:val="0"/>
          <w:color w:val="222222"/>
          <w:spacing w:val="0"/>
          <w:sz w:val="21"/>
          <w:szCs w:val="21"/>
        </w:rPr>
        <w:t>　</w:t>
      </w:r>
      <w:r>
        <w:rPr>
          <w:rStyle w:val="0"/>
          <w:rFonts w:ascii="方正黑体_GBK" w:eastAsia="方正黑体_GBK" w:cs="楷体_GB2312" w:hint="eastAsia"/>
          <w:bCs/>
          <w:kern w:val="0"/>
          <w:sz w:val="32"/>
          <w:szCs w:val="32"/>
          <w:shd w:val="clear" w:color="auto" w:fill="FFFFFF"/>
        </w:rPr>
        <w:t>　</w:t>
      </w:r>
      <w:bookmarkEnd w:id="0"/>
      <w:r>
        <w:rPr>
          <w:rStyle w:val="0"/>
          <w:rFonts w:ascii="方正黑体_GBK" w:eastAsia="方正黑体_GBK" w:cs="楷体_GB2312" w:hint="eastAsia"/>
          <w:bCs/>
          <w:kern w:val="0"/>
          <w:sz w:val="32"/>
          <w:szCs w:val="32"/>
          <w:shd w:val="clear" w:color="auto" w:fill="FFFFFF"/>
        </w:rPr>
        <w:t>五、存在的主要问题及改进情况</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518"/>
        <w:rPr>
          <w:rFonts w:ascii="方正仿宋_GBK" w:eastAsia="方正仿宋_GBK" w:cs="Arial"/>
          <w:spacing w:val="-4"/>
          <w:sz w:val="32"/>
          <w:szCs w:val="32"/>
          <w:shd w:val="clear" w:color="auto" w:fill="auto"/>
        </w:rPr>
      </w:pPr>
      <w:r>
        <w:rPr>
          <w:rFonts w:ascii="方正仿宋_GBK" w:eastAsia="方正仿宋_GBK" w:cs="Arial" w:hint="eastAsia"/>
          <w:spacing w:val="-4"/>
          <w:sz w:val="32"/>
          <w:szCs w:val="32"/>
          <w:shd w:val="clear" w:color="auto" w:fill="auto"/>
        </w:rPr>
        <w:t>（一）202</w:t>
      </w:r>
      <w:r>
        <w:rPr>
          <w:rFonts w:ascii="方正仿宋_GBK" w:eastAsia="方正仿宋_GBK" w:cs="Arial"/>
          <w:spacing w:val="-4"/>
          <w:sz w:val="32"/>
          <w:szCs w:val="32"/>
          <w:shd w:val="clear" w:color="auto" w:fill="auto"/>
        </w:rPr>
        <w:t>4</w:t>
      </w:r>
      <w:r>
        <w:rPr>
          <w:rFonts w:ascii="方正仿宋_GBK" w:eastAsia="方正仿宋_GBK" w:cs="Arial" w:hint="eastAsia"/>
          <w:spacing w:val="-4"/>
          <w:sz w:val="32"/>
          <w:szCs w:val="32"/>
          <w:shd w:val="clear" w:color="auto" w:fill="auto"/>
        </w:rPr>
        <w:t>年年报中所提问题整改情况。</w:t>
      </w:r>
      <w:r>
        <w:rPr>
          <w:rFonts w:ascii="方正仿宋_GBK" w:eastAsia="方正仿宋_GBK" w:cs="Arial"/>
          <w:spacing w:val="-4"/>
          <w:sz w:val="32"/>
          <w:szCs w:val="32"/>
          <w:shd w:val="clear" w:color="auto" w:fill="auto"/>
        </w:rPr>
        <w:t>针对</w:t>
      </w:r>
      <w:r>
        <w:rPr>
          <w:rFonts w:ascii="方正仿宋_GBK" w:eastAsia="方正仿宋_GBK" w:cs="Arial" w:hint="eastAsia"/>
          <w:spacing w:val="-4"/>
          <w:sz w:val="32"/>
          <w:szCs w:val="32"/>
          <w:shd w:val="clear" w:color="auto" w:fill="auto"/>
        </w:rPr>
        <w:t>机关部门主动公开意识有待进一步提高</w:t>
      </w:r>
      <w:r>
        <w:rPr>
          <w:rFonts w:ascii="方正仿宋_GBK" w:eastAsia="方正仿宋_GBK" w:cs="Arial"/>
          <w:spacing w:val="-4"/>
          <w:sz w:val="32"/>
          <w:szCs w:val="32"/>
          <w:shd w:val="clear" w:color="auto" w:fill="auto"/>
        </w:rPr>
        <w:t>的问题，进一步明确公开范围与时限，提升基层海关主动公开意识，提升主动公开积极性</w:t>
      </w:r>
      <w:r>
        <w:rPr>
          <w:rFonts w:ascii="方正仿宋_GBK" w:eastAsia="方正仿宋_GBK" w:cs="Arial" w:hint="eastAsia"/>
          <w:spacing w:val="-4"/>
          <w:sz w:val="32"/>
          <w:szCs w:val="32"/>
          <w:shd w:val="clear" w:color="auto" w:fill="auto"/>
        </w:rPr>
        <w:t>；</w:t>
      </w:r>
      <w:r>
        <w:rPr>
          <w:rFonts w:ascii="方正仿宋_GBK" w:eastAsia="方正仿宋_GBK" w:cs="Arial"/>
          <w:spacing w:val="-4"/>
          <w:sz w:val="32"/>
          <w:szCs w:val="32"/>
          <w:shd w:val="clear" w:color="auto" w:fill="auto"/>
        </w:rPr>
        <w:t>针对</w:t>
      </w:r>
      <w:r>
        <w:rPr>
          <w:rFonts w:ascii="方正仿宋_GBK" w:eastAsia="方正仿宋_GBK" w:cs="Arial" w:hint="eastAsia"/>
          <w:spacing w:val="-4"/>
          <w:sz w:val="32"/>
          <w:szCs w:val="32"/>
          <w:shd w:val="clear" w:color="auto" w:fill="auto"/>
        </w:rPr>
        <w:t>门户网站未将现有资源进行有效整合</w:t>
      </w:r>
      <w:r>
        <w:rPr>
          <w:rFonts w:ascii="方正仿宋_GBK" w:eastAsia="方正仿宋_GBK" w:cs="Arial"/>
          <w:spacing w:val="-4"/>
          <w:sz w:val="32"/>
          <w:szCs w:val="32"/>
          <w:shd w:val="clear" w:color="auto" w:fill="auto"/>
        </w:rPr>
        <w:t>的问题，对现有资源加强整合联动，畅通更新链路，实现信息同步更新，便利群众获取。</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518"/>
        <w:rPr>
          <w:rFonts w:ascii="方正仿宋_GBK" w:eastAsia="方正仿宋_GBK" w:cs="Arial" w:hint="eastAsia"/>
          <w:spacing w:val="-4"/>
          <w:sz w:val="32"/>
          <w:szCs w:val="32"/>
          <w:shd w:val="clear" w:color="auto" w:fill="auto"/>
        </w:rPr>
      </w:pPr>
      <w:r>
        <w:rPr>
          <w:rFonts w:ascii="方正仿宋_GBK" w:eastAsia="方正仿宋_GBK" w:cs="Arial" w:hint="eastAsia"/>
          <w:spacing w:val="-4"/>
          <w:sz w:val="32"/>
          <w:szCs w:val="32"/>
          <w:shd w:val="clear" w:color="auto" w:fill="auto"/>
        </w:rPr>
        <w:t>（二）目前存在问题。</w:t>
      </w:r>
      <w:r>
        <w:rPr>
          <w:rFonts w:ascii="方正仿宋_GBK" w:eastAsia="方正仿宋_GBK" w:cs="Arial"/>
          <w:spacing w:val="-4"/>
          <w:sz w:val="32"/>
          <w:szCs w:val="32"/>
          <w:shd w:val="clear" w:color="auto" w:fill="auto"/>
        </w:rPr>
        <w:t>公开信息呈现碎片化特征，零散发布居多，缺乏针对性专题梳理，未围绕特定领域、重点事项开展集中归集整合，未形成体系化、系列化的成果，整体连贯性与系统性不足。</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531"/>
        <w:rPr>
          <w:rFonts w:ascii="方正仿宋_GBK" w:eastAsia="方正仿宋_GBK" w:cs="Arial"/>
          <w:spacing w:val="-4"/>
          <w:sz w:val="32"/>
          <w:szCs w:val="32"/>
          <w:shd w:val="clear" w:color="auto" w:fill="auto"/>
        </w:rPr>
      </w:pPr>
      <w:r>
        <w:rPr>
          <w:rStyle w:val="0"/>
          <w:rFonts w:ascii="方正黑体_GBK" w:eastAsia="方正黑体_GBK" w:cs="楷体_GB2312" w:hint="eastAsia"/>
          <w:bCs/>
          <w:kern w:val="0"/>
          <w:sz w:val="32"/>
          <w:szCs w:val="32"/>
          <w:shd w:val="clear" w:color="auto" w:fill="FFFFFF"/>
        </w:rPr>
        <w:t>六、其他需要报告的事项</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531"/>
        <w:rPr>
          <w:rFonts w:ascii="方正仿宋_GBK" w:eastAsia="方正仿宋_GBK" w:cs="Arial"/>
          <w:spacing w:val="-4"/>
          <w:sz w:val="32"/>
          <w:szCs w:val="32"/>
          <w:shd w:val="clear" w:color="auto" w:fill="auto"/>
        </w:rPr>
      </w:pPr>
      <w:r>
        <w:rPr>
          <w:rFonts w:ascii="方正仿宋_GBK" w:eastAsia="方正仿宋_GBK" w:cs="Arial" w:hint="eastAsia"/>
          <w:spacing w:val="-4"/>
          <w:sz w:val="32"/>
          <w:szCs w:val="32"/>
          <w:shd w:val="clear" w:color="auto" w:fill="auto"/>
        </w:rPr>
        <w:t>本年度重庆海关本级机关无其他需要报告的事项。</w:t>
      </w:r>
    </w:p>
    <w:p>
      <w:pPr>
        <w:pStyle w:val="19"/>
        <w:pBdr>
          <w:top w:val="none" w:sz="0" w:space="0" w:color="auto"/>
          <w:left w:val="none" w:sz="0" w:space="0" w:color="auto"/>
          <w:bottom w:val="none" w:sz="0" w:space="0" w:color="auto"/>
          <w:right w:val="none" w:sz="0" w:space="0" w:color="auto"/>
        </w:pBdr>
        <w:spacing w:before="240" w:beforeAutospacing="0" w:after="240" w:afterAutospacing="0" w:line="22" w:lineRule="atLeast"/>
        <w:ind w:firstLine="531"/>
        <w:rPr>
          <w:rFonts w:ascii="Arial" w:hAnsi="Arial"/>
          <w:color w:val="222222"/>
          <w:sz w:val="21"/>
          <w:szCs w:val="21"/>
        </w:rPr>
      </w:pPr>
      <w:r>
        <w:rPr>
          <w:rFonts w:ascii="方正仿宋_GBK" w:eastAsia="方正仿宋_GBK" w:cs="Arial" w:hint="eastAsia"/>
          <w:spacing w:val="-4"/>
          <w:sz w:val="32"/>
          <w:szCs w:val="32"/>
          <w:shd w:val="clear" w:color="auto" w:fill="auto"/>
        </w:rPr>
        <w:t>本年度重庆海关本级机关无收取信息处理费情况。</w:t>
      </w:r>
    </w:p>
    <w:p>
      <w:pPr>
        <w:jc w:val="left"/>
      </w:pPr>
    </w:p>
    <w:sectPr>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方正黑体_GBK">
    <w:panose1 w:val="03000509000000000000"/>
    <w:charset w:val="86"/>
    <w:family w:val="script"/>
    <w:pitch w:val="variable"/>
    <w:sig w:usb0="00000001" w:usb1="080E0000" w:usb2="0000000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character" w:styleId="17">
    <w:name w:val="Hyperlink"/>
    <w:rPr>
      <w:color w:val="0000FF"/>
      <w:u w:val="single"/>
    </w:rPr>
  </w:style>
  <w:style w:type="character" w:styleId="18">
    <w:name w:val="Strong"/>
    <w:rPr>
      <w:b/>
    </w:rPr>
  </w:style>
  <w:style w:type="paragraph" w:styleId="19">
    <w:name w:val="Normal (Web)"/>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styleId="20">
    <w:name w:val="toc 7"/>
    <w:basedOn w:val="0"/>
    <w:autoRedefine/>
    <w:next w:val="0"/>
    <w:pPr>
      <w:ind w:left="2520"/>
    </w:pPr>
  </w:style>
  <w:style w:type="character" w:styleId="21">
    <w:name w:val="page number"/>
    <w:basedOn w:val="10"/>
  </w:style>
  <w:style w:type="character" w:styleId="22">
    <w:name w:val="FollowedHyperlink"/>
    <w:basedOn w:val="10"/>
    <w:rPr>
      <w:color w:val="800080"/>
      <w:u w:val="single"/>
    </w:rPr>
  </w:style>
  <w:style w:type="paragraph" w:customStyle="1" w:styleId="23">
    <w:name w:val="样式 6 三号"/>
    <w:next w:val="21"/>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4">
    <w:name w:val="样式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5">
    <w:name w:val="样式 1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6">
    <w:name w:val="样式 2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1333</TotalTime>
  <Application>Yozo_Office</Application>
  <Pages>1</Pages>
  <Words>0</Words>
  <Characters>0</Characters>
  <Lines>1</Lines>
  <Paragraphs>0</Paragraphs>
  <CharactersWithSpaces>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陈昱杉</dc:creator>
  <cp:lastModifiedBy>陈昱杉</cp:lastModifiedBy>
  <cp:revision>1</cp:revision>
  <cp:lastPrinted>2026-01-29T08:54:03Z</cp:lastPrinted>
  <dcterms:created xsi:type="dcterms:W3CDTF">2026-01-12T02:02:06Z</dcterms:created>
  <dcterms:modified xsi:type="dcterms:W3CDTF">2026-02-25T09:43:10Z</dcterms:modified>
</cp:coreProperties>
</file>