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utoSpaceDN w:val="0"/>
        <w:jc w:val="center"/>
        <w:rPr>
          <w:b/>
          <w:bCs/>
          <w:sz w:val="84"/>
          <w:szCs w:val="84"/>
        </w:rPr>
      </w:pPr>
    </w:p>
    <w:p>
      <w:pPr>
        <w:autoSpaceDN w:val="0"/>
        <w:jc w:val="center"/>
        <w:rPr>
          <w:b/>
          <w:bCs/>
          <w:sz w:val="84"/>
          <w:szCs w:val="84"/>
        </w:rPr>
      </w:pPr>
    </w:p>
    <w:p>
      <w:pPr>
        <w:autoSpaceDN w:val="0"/>
        <w:jc w:val="center"/>
        <w:rPr>
          <w:b/>
          <w:bCs/>
          <w:sz w:val="84"/>
          <w:szCs w:val="84"/>
        </w:rPr>
      </w:pPr>
    </w:p>
    <w:p>
      <w:pPr>
        <w:autoSpaceDN w:val="0"/>
        <w:jc w:val="center"/>
        <w:rPr>
          <w:b/>
          <w:bCs/>
          <w:sz w:val="84"/>
          <w:szCs w:val="84"/>
        </w:rPr>
      </w:pPr>
      <w:r>
        <w:rPr>
          <w:b/>
          <w:bCs/>
          <w:sz w:val="84"/>
          <w:szCs w:val="84"/>
        </w:rPr>
        <w:t>20</w:t>
      </w:r>
      <w:r>
        <w:rPr>
          <w:rFonts w:hint="eastAsia"/>
          <w:b/>
          <w:bCs/>
          <w:sz w:val="84"/>
          <w:szCs w:val="84"/>
        </w:rPr>
        <w:t>22年度</w:t>
      </w:r>
    </w:p>
    <w:p>
      <w:pPr>
        <w:autoSpaceDN w:val="0"/>
        <w:jc w:val="center"/>
        <w:rPr>
          <w:b/>
          <w:bCs/>
          <w:sz w:val="84"/>
          <w:szCs w:val="84"/>
        </w:rPr>
      </w:pPr>
      <w:r>
        <w:rPr>
          <w:rFonts w:hint="eastAsia"/>
          <w:b/>
          <w:bCs/>
          <w:sz w:val="84"/>
          <w:szCs w:val="84"/>
        </w:rPr>
        <w:t>重庆海关技术中心</w:t>
      </w:r>
    </w:p>
    <w:p>
      <w:pPr>
        <w:autoSpaceDN w:val="0"/>
        <w:jc w:val="center"/>
        <w:rPr>
          <w:b/>
          <w:bCs/>
          <w:sz w:val="84"/>
          <w:szCs w:val="84"/>
        </w:rPr>
      </w:pPr>
      <w:r>
        <w:rPr>
          <w:rFonts w:hint="eastAsia"/>
          <w:b/>
          <w:bCs/>
          <w:sz w:val="84"/>
          <w:szCs w:val="84"/>
        </w:rPr>
        <w:t>部门决算</w:t>
      </w:r>
      <w:r>
        <w:rPr>
          <w:b/>
          <w:bCs/>
          <w:sz w:val="84"/>
          <w:szCs w:val="84"/>
        </w:rPr>
        <w:br w:type="page"/>
      </w:r>
      <w:r>
        <w:rPr>
          <w:rFonts w:hint="eastAsia"/>
          <w:b/>
          <w:bCs/>
          <w:sz w:val="84"/>
          <w:szCs w:val="84"/>
        </w:rPr>
        <w:t>目</w:t>
      </w:r>
      <w:r>
        <w:rPr>
          <w:b/>
          <w:bCs/>
          <w:sz w:val="84"/>
          <w:szCs w:val="84"/>
        </w:rPr>
        <w:t xml:space="preserve">  </w:t>
      </w:r>
      <w:r>
        <w:rPr>
          <w:rFonts w:hint="eastAsia"/>
          <w:b/>
          <w:bCs/>
          <w:sz w:val="84"/>
          <w:szCs w:val="84"/>
        </w:rPr>
        <w:t>录</w:t>
      </w:r>
    </w:p>
    <w:p>
      <w:pPr>
        <w:autoSpaceDN w:val="0"/>
        <w:rPr>
          <w:rFonts w:eastAsia="方正黑体_GBK"/>
          <w:sz w:val="28"/>
          <w:szCs w:val="28"/>
        </w:rPr>
      </w:pPr>
      <w:r>
        <w:rPr>
          <w:rFonts w:eastAsia="方正黑体_GBK" w:hint="eastAsia"/>
          <w:sz w:val="28"/>
          <w:szCs w:val="28"/>
        </w:rPr>
        <w:t xml:space="preserve">第一部分 </w:t>
      </w:r>
      <w:r>
        <w:rPr>
          <w:rFonts w:eastAsia="方正黑体_GBK" w:cs="仿宋" w:hint="eastAsia"/>
          <w:sz w:val="28"/>
          <w:szCs w:val="28"/>
        </w:rPr>
        <w:t>重庆海关技术中心</w:t>
      </w:r>
      <w:r>
        <w:rPr>
          <w:rFonts w:eastAsia="方正黑体_GBK" w:hint="eastAsia"/>
          <w:sz w:val="28"/>
          <w:szCs w:val="28"/>
        </w:rPr>
        <w:t>概况</w:t>
      </w:r>
    </w:p>
    <w:p>
      <w:pPr>
        <w:autoSpaceDN w:val="0"/>
        <w:ind w:firstLineChars="100" w:firstLine="280"/>
        <w:rPr>
          <w:rFonts w:eastAsia="方正仿宋_GBK"/>
          <w:sz w:val="28"/>
          <w:szCs w:val="28"/>
        </w:rPr>
      </w:pPr>
      <w:r>
        <w:rPr>
          <w:rFonts w:eastAsia="方正仿宋_GBK" w:hint="eastAsia"/>
          <w:sz w:val="28"/>
          <w:szCs w:val="28"/>
        </w:rPr>
        <w:t>一、部门职责</w:t>
      </w:r>
    </w:p>
    <w:p>
      <w:pPr>
        <w:autoSpaceDN w:val="0"/>
        <w:ind w:firstLineChars="100" w:firstLine="280"/>
        <w:rPr>
          <w:rFonts w:eastAsia="方正仿宋_GBK"/>
          <w:sz w:val="28"/>
          <w:szCs w:val="28"/>
        </w:rPr>
      </w:pPr>
      <w:r>
        <w:rPr>
          <w:rFonts w:eastAsia="方正仿宋_GBK" w:hint="eastAsia"/>
          <w:sz w:val="28"/>
          <w:szCs w:val="28"/>
        </w:rPr>
        <w:t>二、机构设置</w:t>
      </w:r>
    </w:p>
    <w:p>
      <w:pPr>
        <w:autoSpaceDN w:val="0"/>
        <w:rPr>
          <w:rFonts w:eastAsia="方正黑体_GBK"/>
          <w:sz w:val="28"/>
          <w:szCs w:val="28"/>
        </w:rPr>
      </w:pPr>
      <w:r>
        <w:rPr>
          <w:rFonts w:eastAsia="方正黑体_GBK" w:hint="eastAsia"/>
          <w:sz w:val="28"/>
          <w:szCs w:val="28"/>
        </w:rPr>
        <w:t xml:space="preserve">第二部分 </w:t>
      </w:r>
      <w:r>
        <w:rPr>
          <w:rFonts w:eastAsia="方正黑体_GBK"/>
          <w:sz w:val="28"/>
          <w:szCs w:val="28"/>
        </w:rPr>
        <w:t>20</w:t>
      </w:r>
      <w:r>
        <w:rPr>
          <w:rFonts w:eastAsia="方正黑体_GBK" w:hint="eastAsia"/>
          <w:sz w:val="28"/>
          <w:szCs w:val="28"/>
        </w:rPr>
        <w:t>22年度部门决算表</w:t>
      </w:r>
    </w:p>
    <w:p>
      <w:pPr>
        <w:autoSpaceDN w:val="0"/>
        <w:ind w:firstLineChars="100" w:firstLine="280"/>
        <w:rPr>
          <w:rFonts w:eastAsia="方正仿宋_GBK"/>
          <w:sz w:val="28"/>
          <w:szCs w:val="28"/>
        </w:rPr>
      </w:pPr>
      <w:r>
        <w:rPr>
          <w:rFonts w:eastAsia="方正仿宋_GBK" w:hint="eastAsia"/>
          <w:sz w:val="28"/>
          <w:szCs w:val="28"/>
        </w:rPr>
        <w:t>一、收入支出决算总表</w:t>
      </w:r>
    </w:p>
    <w:p>
      <w:pPr>
        <w:autoSpaceDN w:val="0"/>
        <w:ind w:firstLineChars="100" w:firstLine="280"/>
        <w:rPr>
          <w:rFonts w:eastAsia="方正仿宋_GBK"/>
          <w:sz w:val="28"/>
          <w:szCs w:val="28"/>
        </w:rPr>
      </w:pPr>
      <w:r>
        <w:rPr>
          <w:rFonts w:eastAsia="方正仿宋_GBK" w:hint="eastAsia"/>
          <w:sz w:val="28"/>
          <w:szCs w:val="28"/>
        </w:rPr>
        <w:t>二、收入决算表</w:t>
      </w:r>
    </w:p>
    <w:p>
      <w:pPr>
        <w:autoSpaceDN w:val="0"/>
        <w:ind w:firstLineChars="100" w:firstLine="280"/>
        <w:rPr>
          <w:rFonts w:eastAsia="方正仿宋_GBK"/>
          <w:sz w:val="28"/>
          <w:szCs w:val="28"/>
        </w:rPr>
      </w:pPr>
      <w:r>
        <w:rPr>
          <w:rFonts w:eastAsia="方正仿宋_GBK" w:hint="eastAsia"/>
          <w:sz w:val="28"/>
          <w:szCs w:val="28"/>
        </w:rPr>
        <w:t>三、支出决算表</w:t>
      </w:r>
    </w:p>
    <w:p>
      <w:pPr>
        <w:autoSpaceDN w:val="0"/>
        <w:ind w:firstLineChars="100" w:firstLine="280"/>
        <w:rPr>
          <w:rFonts w:eastAsia="方正仿宋_GBK"/>
          <w:sz w:val="28"/>
          <w:szCs w:val="28"/>
        </w:rPr>
      </w:pPr>
      <w:r>
        <w:rPr>
          <w:rFonts w:eastAsia="方正仿宋_GBK" w:hint="eastAsia"/>
          <w:sz w:val="28"/>
          <w:szCs w:val="28"/>
        </w:rPr>
        <w:t>四、财政拨款收入支出决算总表</w:t>
      </w:r>
    </w:p>
    <w:p>
      <w:pPr>
        <w:autoSpaceDN w:val="0"/>
        <w:ind w:firstLineChars="100" w:firstLine="280"/>
        <w:rPr>
          <w:rFonts w:eastAsia="方正仿宋_GBK"/>
          <w:sz w:val="28"/>
          <w:szCs w:val="28"/>
        </w:rPr>
      </w:pPr>
      <w:r>
        <w:rPr>
          <w:rFonts w:eastAsia="方正仿宋_GBK" w:hint="eastAsia"/>
          <w:sz w:val="28"/>
          <w:szCs w:val="28"/>
        </w:rPr>
        <w:t>五、一般公共预算财政拨款支出决算表</w:t>
      </w:r>
    </w:p>
    <w:p>
      <w:pPr>
        <w:autoSpaceDN w:val="0"/>
        <w:ind w:firstLineChars="100" w:firstLine="280"/>
        <w:rPr>
          <w:rFonts w:eastAsia="方正仿宋_GBK"/>
          <w:sz w:val="28"/>
          <w:szCs w:val="28"/>
        </w:rPr>
      </w:pPr>
      <w:r>
        <w:rPr>
          <w:rFonts w:eastAsia="方正仿宋_GBK" w:hint="eastAsia"/>
          <w:sz w:val="28"/>
          <w:szCs w:val="28"/>
        </w:rPr>
        <w:t>六、一般公共预算财政拨款基本支出决算明细表</w:t>
      </w:r>
    </w:p>
    <w:p>
      <w:pPr>
        <w:autoSpaceDN w:val="0"/>
        <w:ind w:firstLineChars="100" w:firstLine="280"/>
        <w:rPr>
          <w:rFonts w:eastAsia="方正仿宋_GBK"/>
          <w:sz w:val="28"/>
          <w:szCs w:val="28"/>
        </w:rPr>
      </w:pPr>
      <w:r>
        <w:rPr>
          <w:rFonts w:eastAsia="方正仿宋_GBK" w:hint="eastAsia"/>
          <w:sz w:val="28"/>
          <w:szCs w:val="28"/>
        </w:rPr>
        <w:t>七、政府性基金预算财政拨款收入支出决算表</w:t>
      </w:r>
    </w:p>
    <w:p>
      <w:pPr>
        <w:autoSpaceDN w:val="0"/>
        <w:ind w:firstLineChars="100" w:firstLine="280"/>
        <w:rPr>
          <w:rFonts w:eastAsia="方正仿宋_GBK"/>
          <w:sz w:val="28"/>
          <w:szCs w:val="28"/>
        </w:rPr>
      </w:pPr>
      <w:r>
        <w:rPr>
          <w:rFonts w:eastAsia="方正仿宋_GBK" w:hint="eastAsia"/>
          <w:sz w:val="28"/>
          <w:szCs w:val="28"/>
        </w:rPr>
        <w:t>八、国有资本经营预算财政拨款支出决算表</w:t>
      </w:r>
    </w:p>
    <w:p>
      <w:pPr>
        <w:autoSpaceDN w:val="0"/>
        <w:ind w:firstLineChars="100" w:firstLine="280"/>
        <w:rPr>
          <w:rFonts w:eastAsia="方正仿宋_GBK"/>
          <w:sz w:val="28"/>
          <w:szCs w:val="28"/>
        </w:rPr>
      </w:pPr>
      <w:r>
        <w:rPr>
          <w:rFonts w:eastAsia="方正仿宋_GBK" w:hint="eastAsia"/>
          <w:sz w:val="28"/>
          <w:szCs w:val="28"/>
        </w:rPr>
        <w:t>九、财政拨款“三公”经费支出决算表</w:t>
      </w:r>
    </w:p>
    <w:p>
      <w:pPr>
        <w:autoSpaceDN w:val="0"/>
        <w:rPr>
          <w:rFonts w:eastAsia="方正黑体_GBK"/>
          <w:sz w:val="28"/>
          <w:szCs w:val="28"/>
        </w:rPr>
      </w:pPr>
      <w:r>
        <w:rPr>
          <w:rFonts w:eastAsia="方正黑体_GBK" w:hint="eastAsia"/>
          <w:sz w:val="28"/>
          <w:szCs w:val="28"/>
        </w:rPr>
        <w:t xml:space="preserve">第三部分 </w:t>
      </w:r>
      <w:r>
        <w:rPr>
          <w:rFonts w:eastAsia="方正黑体_GBK"/>
          <w:sz w:val="28"/>
          <w:szCs w:val="28"/>
        </w:rPr>
        <w:t>20</w:t>
      </w:r>
      <w:r>
        <w:rPr>
          <w:rFonts w:eastAsia="方正黑体_GBK" w:hint="eastAsia"/>
          <w:sz w:val="28"/>
          <w:szCs w:val="28"/>
        </w:rPr>
        <w:t>22年度部门决算情况说明</w:t>
      </w:r>
    </w:p>
    <w:p>
      <w:pPr>
        <w:autoSpaceDN w:val="0"/>
        <w:ind w:firstLineChars="100" w:firstLine="280"/>
        <w:rPr>
          <w:rFonts w:eastAsia="方正仿宋_GBK"/>
          <w:sz w:val="28"/>
          <w:szCs w:val="28"/>
        </w:rPr>
      </w:pPr>
      <w:r>
        <w:rPr>
          <w:rFonts w:eastAsia="方正仿宋_GBK" w:hint="eastAsia"/>
          <w:sz w:val="28"/>
          <w:szCs w:val="28"/>
        </w:rPr>
        <w:t>一、收入支出决算总体情况说明</w:t>
      </w:r>
    </w:p>
    <w:p>
      <w:pPr>
        <w:autoSpaceDN w:val="0"/>
        <w:ind w:firstLineChars="100" w:firstLine="280"/>
        <w:rPr>
          <w:rFonts w:eastAsia="方正仿宋_GBK"/>
          <w:sz w:val="28"/>
          <w:szCs w:val="28"/>
        </w:rPr>
      </w:pPr>
      <w:r>
        <w:rPr>
          <w:rFonts w:eastAsia="方正仿宋_GBK" w:hint="eastAsia"/>
          <w:sz w:val="28"/>
          <w:szCs w:val="28"/>
        </w:rPr>
        <w:t>二、收入决算情况说明</w:t>
      </w:r>
    </w:p>
    <w:p>
      <w:pPr>
        <w:autoSpaceDN w:val="0"/>
        <w:ind w:firstLineChars="100" w:firstLine="280"/>
        <w:rPr>
          <w:rFonts w:eastAsia="方正仿宋_GBK"/>
          <w:sz w:val="28"/>
          <w:szCs w:val="28"/>
        </w:rPr>
      </w:pPr>
      <w:r>
        <w:rPr>
          <w:rFonts w:eastAsia="方正仿宋_GBK" w:hint="eastAsia"/>
          <w:sz w:val="28"/>
          <w:szCs w:val="28"/>
        </w:rPr>
        <w:t>三、支出决算情况说明</w:t>
      </w:r>
    </w:p>
    <w:p>
      <w:pPr>
        <w:autoSpaceDN w:val="0"/>
        <w:ind w:firstLineChars="100" w:firstLine="280"/>
        <w:rPr>
          <w:rFonts w:eastAsia="方正仿宋_GBK"/>
          <w:sz w:val="28"/>
          <w:szCs w:val="28"/>
        </w:rPr>
      </w:pPr>
      <w:r>
        <w:rPr>
          <w:rFonts w:eastAsia="方正仿宋_GBK" w:hint="eastAsia"/>
          <w:sz w:val="28"/>
          <w:szCs w:val="28"/>
        </w:rPr>
        <w:t>四、财政拨款收入支出决算总体情况说明</w:t>
      </w:r>
    </w:p>
    <w:p>
      <w:pPr>
        <w:autoSpaceDN w:val="0"/>
        <w:ind w:firstLineChars="100" w:firstLine="280"/>
        <w:rPr>
          <w:rFonts w:eastAsia="方正仿宋_GBK"/>
          <w:sz w:val="28"/>
          <w:szCs w:val="28"/>
        </w:rPr>
      </w:pPr>
      <w:r>
        <w:rPr>
          <w:rFonts w:eastAsia="方正仿宋_GBK" w:hint="eastAsia"/>
          <w:sz w:val="28"/>
          <w:szCs w:val="28"/>
        </w:rPr>
        <w:t>五、一般公共预算财政拨款支出决算情况说明</w:t>
      </w:r>
    </w:p>
    <w:p>
      <w:pPr>
        <w:autoSpaceDN w:val="0"/>
        <w:ind w:firstLineChars="100" w:firstLine="280"/>
        <w:rPr>
          <w:rFonts w:eastAsia="方正仿宋_GBK"/>
          <w:sz w:val="28"/>
          <w:szCs w:val="28"/>
        </w:rPr>
      </w:pPr>
      <w:r>
        <w:rPr>
          <w:rFonts w:eastAsia="方正仿宋_GBK" w:hint="eastAsia"/>
          <w:sz w:val="28"/>
          <w:szCs w:val="28"/>
        </w:rPr>
        <w:t>六、一般公共预算财政拨款基本支出决算情况说明</w:t>
      </w:r>
    </w:p>
    <w:p>
      <w:pPr>
        <w:autoSpaceDN w:val="0"/>
        <w:ind w:firstLineChars="100" w:firstLine="280"/>
        <w:rPr>
          <w:rFonts w:eastAsia="方正仿宋_GBK"/>
          <w:sz w:val="28"/>
          <w:szCs w:val="28"/>
        </w:rPr>
      </w:pPr>
      <w:r>
        <w:rPr>
          <w:rFonts w:eastAsia="方正仿宋_GBK" w:hint="eastAsia"/>
          <w:sz w:val="28"/>
          <w:szCs w:val="28"/>
        </w:rPr>
        <w:t>七、一般公共预算财政拨款“三公”经费支出决算情况说明</w:t>
      </w:r>
    </w:p>
    <w:p>
      <w:pPr>
        <w:autoSpaceDN w:val="0"/>
        <w:ind w:firstLineChars="100" w:firstLine="280"/>
        <w:rPr>
          <w:rFonts w:eastAsia="方正仿宋_GBK"/>
          <w:sz w:val="28"/>
          <w:szCs w:val="28"/>
        </w:rPr>
      </w:pPr>
      <w:r>
        <w:rPr>
          <w:rFonts w:eastAsia="方正仿宋_GBK" w:hint="eastAsia"/>
          <w:sz w:val="28"/>
          <w:szCs w:val="28"/>
        </w:rPr>
        <w:t>八、政府采购支出说明</w:t>
      </w:r>
    </w:p>
    <w:p>
      <w:pPr>
        <w:autoSpaceDN w:val="0"/>
        <w:ind w:firstLineChars="100" w:firstLine="280"/>
        <w:rPr>
          <w:rFonts w:eastAsia="方正仿宋_GBK"/>
          <w:sz w:val="28"/>
          <w:szCs w:val="28"/>
        </w:rPr>
      </w:pPr>
      <w:r>
        <w:rPr>
          <w:rFonts w:eastAsia="方正仿宋_GBK" w:hint="eastAsia"/>
          <w:sz w:val="28"/>
          <w:szCs w:val="28"/>
        </w:rPr>
        <w:t>九、国有资产占用情况说明</w:t>
      </w:r>
    </w:p>
    <w:p>
      <w:pPr>
        <w:autoSpaceDN w:val="0"/>
        <w:ind w:firstLineChars="100" w:firstLine="280"/>
        <w:rPr>
          <w:rFonts w:eastAsia="方正仿宋_GBK"/>
          <w:sz w:val="28"/>
          <w:szCs w:val="28"/>
        </w:rPr>
      </w:pPr>
      <w:r>
        <w:rPr>
          <w:rFonts w:eastAsia="方正仿宋_GBK" w:hint="eastAsia"/>
          <w:sz w:val="28"/>
          <w:szCs w:val="28"/>
        </w:rPr>
        <w:t>十、预算绩效情况说明</w:t>
      </w:r>
    </w:p>
    <w:p>
      <w:pPr>
        <w:autoSpaceDN w:val="0"/>
        <w:ind w:leftChars="100" w:left="1307" w:hangingChars="392" w:hanging="1097"/>
        <w:rPr>
          <w:rFonts w:ascii="方正黑体_GBK" w:eastAsia="方正黑体_GBK"/>
          <w:sz w:val="28"/>
          <w:szCs w:val="28"/>
        </w:rPr>
      </w:pPr>
      <w:r>
        <w:rPr>
          <w:rFonts w:ascii="方正黑体_GBK" w:eastAsia="方正黑体_GBK" w:hint="eastAsia"/>
          <w:sz w:val="28"/>
          <w:szCs w:val="28"/>
        </w:rPr>
        <w:t>第四部分 名词解释</w:t>
      </w:r>
    </w:p>
    <w:p>
      <w:pPr>
        <w:autoSpaceDN w:val="0"/>
        <w:spacing w:line="560" w:lineRule="exact"/>
        <w:ind w:firstLineChars="200" w:firstLine="420"/>
      </w:pPr>
      <w:r>
        <w:br w:type="page"/>
      </w: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880"/>
        <w:jc w:val="center"/>
        <w:rPr>
          <w:b/>
          <w:sz w:val="44"/>
          <w:szCs w:val="44"/>
        </w:rPr>
      </w:pPr>
      <w:r>
        <w:rPr>
          <w:rFonts w:hint="eastAsia"/>
          <w:b/>
          <w:sz w:val="44"/>
          <w:szCs w:val="44"/>
        </w:rPr>
        <w:t>第一部分   重庆海关技术中心概况</w:t>
      </w: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420"/>
      </w:pP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一、部门职责。</w:t>
      </w:r>
    </w:p>
    <w:p>
      <w:pPr>
        <w:autoSpaceDN w:val="0"/>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重庆海关技术中心（以下简称“技术中心”）为重庆海关直属公益二类事业单位，成立于1999年10月。主要承担重庆关区进出境的实验室检测、隔离检疫、化验鉴定、研究咨询与风险分析，开展有关海关技术法规、</w:t>
      </w:r>
      <w:bookmarkStart w:id="0" w:name="_GoBack"/>
      <w:bookmarkEnd w:id="0"/>
      <w:r>
        <w:rPr>
          <w:rFonts w:ascii="方正仿宋_GBK" w:eastAsia="方正仿宋_GBK" w:hint="eastAsia"/>
          <w:sz w:val="32"/>
          <w:szCs w:val="32"/>
        </w:rPr>
        <w:t>标准的制修订，按照有关规定提供委托检验、检测、校准、鉴定、认证、检疫处理等服务，是西部地区最有影响力的综合型检测机构之一。</w: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二、机构设置。</w:t>
      </w:r>
    </w:p>
    <w:p>
      <w:pPr>
        <w:autoSpaceDN w:val="0"/>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技术中心内设有4个分中心、3个综合部门，4个分中心分别为：食品安全检测分中心、动植检疫分中心、化验鉴定和环境安全检测分中心和消费品安全检测分中心；3个综合部门分别为：综合管理部、财务管理部、市场客服部。</w:t>
      </w:r>
    </w:p>
    <w:p>
      <w:pPr>
        <w:autoSpaceDN w:val="0"/>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纳入技术中心2022年部门决算编制范围的单位共1个。</w:t>
      </w:r>
    </w:p>
    <w:p>
      <w:pPr>
        <w:widowControl/>
        <w:autoSpaceDN w:val="0"/>
        <w:jc w:val="left"/>
        <w:rPr>
          <w:rFonts w:ascii="方正仿宋_GBK" w:eastAsia="方正仿宋_GBK" w:hint="eastAsia"/>
        </w:rPr>
        <w:sectPr>
          <w:pgSz w:w="11907" w:h="16840"/>
          <w:pgMar w:top="1440" w:right="1797" w:bottom="1440" w:left="1797" w:header="851" w:footer="992" w:gutter="0"/>
          <w:docGrid w:type="lines" w:linePitch="312" w:charSpace="0"/>
        </w:sectPr>
      </w:pPr>
    </w:p>
    <w:p>
      <w:pPr>
        <w:rPr>
          <w:rFonts w:ascii="方正仿宋_GBK" w:eastAsia="方正仿宋_GBK"/>
          <w:sz w:val="32"/>
          <w:szCs w:val="32"/>
        </w:rPr>
      </w:pPr>
    </w:p>
    <w:tbl>
      <w:tblPr>
        <w:jc w:val="left"/>
        <w:tblInd w:w="93" w:type="dxa"/>
        <w:tblW w:w="14083" w:type="dxa"/>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4633"/>
        <w:gridCol w:w="704"/>
        <w:gridCol w:w="2014"/>
        <w:gridCol w:w="3652"/>
        <w:gridCol w:w="704"/>
        <w:gridCol w:w="2376"/>
      </w:tblGrid>
      <w:tr>
        <w:trPr>
          <w:trHeight w:val="345"/>
        </w:trPr>
        <w:tc>
          <w:tcPr>
            <w:tcW w:w="14083" w:type="dxa"/>
            <w:gridSpan w:val="6"/>
            <w:tcBorders>
              <w:top w:val="nil"/>
              <w:left w:val="nil"/>
              <w:bottom w:val="nil"/>
              <w:right w:val="nil"/>
            </w:tcBorders>
            <w:shd w:val="clear" w:color="auto" w:fill="auto"/>
            <w:noWrap/>
            <w:vAlign w:val="bottom"/>
          </w:tcPr>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r>
              <w:rPr>
                <w:rFonts w:hint="eastAsia"/>
                <w:b/>
                <w:sz w:val="44"/>
                <w:szCs w:val="44"/>
              </w:rPr>
              <w:t xml:space="preserve">第二部分 </w:t>
            </w: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r>
              <w:rPr>
                <w:rFonts w:hint="eastAsia"/>
                <w:b/>
                <w:sz w:val="44"/>
                <w:szCs w:val="44"/>
              </w:rPr>
              <w:t>2022年度部门决算表</w:t>
            </w: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r>
              <w:rPr>
                <w:rFonts w:hint="eastAsia"/>
                <w:b/>
                <w:sz w:val="44"/>
                <w:szCs w:val="44"/>
              </w:rPr>
              <w:t>收入支出决算总表</w:t>
            </w:r>
          </w:p>
        </w:tc>
      </w:tr>
      <w:tr>
        <w:trPr>
          <w:trHeight w:val="255"/>
        </w:trPr>
        <w:tc>
          <w:tcPr>
            <w:tcW w:w="463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0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01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652"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0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376"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公开01表</w:t>
            </w:r>
          </w:p>
        </w:tc>
      </w:tr>
      <w:tr>
        <w:trPr>
          <w:trHeight w:val="255"/>
        </w:trPr>
        <w:tc>
          <w:tcPr>
            <w:tcW w:w="4633" w:type="dxa"/>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部门：重庆海关技术中心</w:t>
            </w:r>
          </w:p>
        </w:tc>
        <w:tc>
          <w:tcPr>
            <w:tcW w:w="70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01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652"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0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376"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15"/>
        </w:trPr>
        <w:tc>
          <w:tcPr>
            <w:tcW w:w="7351" w:type="dxa"/>
            <w:gridSpan w:val="3"/>
            <w:tcBorders>
              <w:top w:val="single" w:sz="6" w:space="0" w:color="000000"/>
              <w:left w:val="single" w:sz="6" w:space="0" w:color="000000"/>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收入</w:t>
            </w:r>
          </w:p>
        </w:tc>
        <w:tc>
          <w:tcPr>
            <w:tcW w:w="6732" w:type="dxa"/>
            <w:gridSpan w:val="3"/>
            <w:tcBorders>
              <w:top w:val="single" w:sz="6" w:space="0" w:color="000000"/>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支出</w:t>
            </w: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项目</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行次</w:t>
            </w:r>
          </w:p>
        </w:tc>
        <w:tc>
          <w:tcPr>
            <w:tcW w:w="201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金额</w:t>
            </w:r>
          </w:p>
        </w:tc>
        <w:tc>
          <w:tcPr>
            <w:tcW w:w="3652"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项目</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行次</w:t>
            </w:r>
          </w:p>
        </w:tc>
        <w:tc>
          <w:tcPr>
            <w:tcW w:w="2376"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金额</w:t>
            </w: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栏次</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　</w:t>
            </w:r>
          </w:p>
        </w:tc>
        <w:tc>
          <w:tcPr>
            <w:tcW w:w="201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1</w:t>
            </w:r>
          </w:p>
        </w:tc>
        <w:tc>
          <w:tcPr>
            <w:tcW w:w="3652"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栏次</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　</w:t>
            </w:r>
          </w:p>
        </w:tc>
        <w:tc>
          <w:tcPr>
            <w:tcW w:w="2376"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2</w:t>
            </w: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一、一般公共预算财政拨款收入</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1</w:t>
            </w:r>
          </w:p>
        </w:tc>
        <w:tc>
          <w:tcPr>
            <w:tcW w:w="201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color w:val="000000"/>
                <w:sz w:val="22"/>
              </w:rPr>
              <w:t>1,135.38</w:t>
            </w:r>
          </w:p>
        </w:tc>
        <w:tc>
          <w:tcPr>
            <w:tcW w:w="3652"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一、一般公共服务支出</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13</w:t>
            </w:r>
          </w:p>
        </w:tc>
        <w:tc>
          <w:tcPr>
            <w:tcW w:w="2376"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sz w:val="22"/>
              </w:rPr>
            </w:pPr>
            <w:r>
              <w:rPr>
                <w:rFonts w:ascii="宋体" w:cs="Arial"/>
                <w:color w:val="000000"/>
                <w:sz w:val="22"/>
              </w:rPr>
              <w:t>4,544.56</w:t>
            </w: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二、政府性基金预算财政拨款收入</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2</w:t>
            </w:r>
          </w:p>
        </w:tc>
        <w:tc>
          <w:tcPr>
            <w:tcW w:w="201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p>
        </w:tc>
        <w:tc>
          <w:tcPr>
            <w:tcW w:w="3652"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二、外交支出</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14</w:t>
            </w:r>
          </w:p>
        </w:tc>
        <w:tc>
          <w:tcPr>
            <w:tcW w:w="2376"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sz w:val="22"/>
              </w:rPr>
            </w:pP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三、国有资本经营预算财政拨款收入</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3</w:t>
            </w:r>
          </w:p>
        </w:tc>
        <w:tc>
          <w:tcPr>
            <w:tcW w:w="201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p>
        </w:tc>
        <w:tc>
          <w:tcPr>
            <w:tcW w:w="3652"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三、公共安全支出</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15</w:t>
            </w:r>
          </w:p>
        </w:tc>
        <w:tc>
          <w:tcPr>
            <w:tcW w:w="2376"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sz w:val="22"/>
              </w:rPr>
            </w:pP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四、上级补助收入</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4</w:t>
            </w:r>
          </w:p>
        </w:tc>
        <w:tc>
          <w:tcPr>
            <w:tcW w:w="201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p>
        </w:tc>
        <w:tc>
          <w:tcPr>
            <w:tcW w:w="3652"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四、教育支出</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16</w:t>
            </w:r>
          </w:p>
        </w:tc>
        <w:tc>
          <w:tcPr>
            <w:tcW w:w="2376"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sz w:val="22"/>
              </w:rPr>
            </w:pP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五、事业收入</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5</w:t>
            </w:r>
          </w:p>
        </w:tc>
        <w:tc>
          <w:tcPr>
            <w:tcW w:w="201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color w:val="000000"/>
                <w:sz w:val="22"/>
              </w:rPr>
              <w:t>2,488.76</w:t>
            </w:r>
          </w:p>
        </w:tc>
        <w:tc>
          <w:tcPr>
            <w:tcW w:w="3652"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五、社会保障和就业支出</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17</w:t>
            </w:r>
          </w:p>
        </w:tc>
        <w:tc>
          <w:tcPr>
            <w:tcW w:w="2376"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sz w:val="22"/>
              </w:rPr>
            </w:pP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六、经营收入</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6</w:t>
            </w:r>
          </w:p>
        </w:tc>
        <w:tc>
          <w:tcPr>
            <w:tcW w:w="201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p>
        </w:tc>
        <w:tc>
          <w:tcPr>
            <w:tcW w:w="3652"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六、卫生健康支出</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18</w:t>
            </w:r>
          </w:p>
        </w:tc>
        <w:tc>
          <w:tcPr>
            <w:tcW w:w="2376"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sz w:val="22"/>
              </w:rPr>
            </w:pP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七、附属单位上缴收入　</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7</w:t>
            </w:r>
          </w:p>
        </w:tc>
        <w:tc>
          <w:tcPr>
            <w:tcW w:w="201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p>
        </w:tc>
        <w:tc>
          <w:tcPr>
            <w:tcW w:w="3652"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七、节能环保支出</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19</w:t>
            </w:r>
          </w:p>
        </w:tc>
        <w:tc>
          <w:tcPr>
            <w:tcW w:w="2376"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sz w:val="22"/>
              </w:rPr>
            </w:pP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八、其他收入　</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8</w:t>
            </w:r>
          </w:p>
        </w:tc>
        <w:tc>
          <w:tcPr>
            <w:tcW w:w="201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color w:val="000000"/>
                <w:sz w:val="22"/>
              </w:rPr>
              <w:t>340.99</w:t>
            </w:r>
          </w:p>
        </w:tc>
        <w:tc>
          <w:tcPr>
            <w:tcW w:w="3652"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八、住房保障支出</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20</w:t>
            </w:r>
          </w:p>
        </w:tc>
        <w:tc>
          <w:tcPr>
            <w:tcW w:w="2376"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sz w:val="22"/>
              </w:rPr>
            </w:pPr>
            <w:r>
              <w:rPr>
                <w:rFonts w:ascii="宋体" w:cs="Arial"/>
                <w:color w:val="000000"/>
                <w:sz w:val="22"/>
              </w:rPr>
              <w:t>136.47</w:t>
            </w:r>
          </w:p>
        </w:tc>
      </w:tr>
      <w:tr>
        <w:trPr>
          <w:trHeight w:val="259"/>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center"/>
              <w:rPr>
                <w:rFonts w:ascii="宋体" w:cs="Arial"/>
                <w:b/>
                <w:bCs/>
                <w:color w:val="000000"/>
                <w:kern w:val="0"/>
                <w:sz w:val="22"/>
              </w:rPr>
            </w:pPr>
            <w:r>
              <w:rPr>
                <w:rFonts w:ascii="宋体" w:cs="Arial" w:hint="eastAsia"/>
                <w:b/>
                <w:bCs/>
                <w:color w:val="000000"/>
                <w:kern w:val="0"/>
                <w:sz w:val="22"/>
              </w:rPr>
              <w:t>本年收入合计</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9</w:t>
            </w:r>
          </w:p>
        </w:tc>
        <w:tc>
          <w:tcPr>
            <w:tcW w:w="201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color w:val="000000"/>
                <w:sz w:val="22"/>
              </w:rPr>
              <w:t>3,965.13</w:t>
            </w:r>
          </w:p>
        </w:tc>
        <w:tc>
          <w:tcPr>
            <w:tcW w:w="3652"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b/>
                <w:bCs/>
                <w:color w:val="000000"/>
                <w:kern w:val="0"/>
                <w:sz w:val="22"/>
              </w:rPr>
            </w:pPr>
            <w:r>
              <w:rPr>
                <w:rFonts w:ascii="宋体" w:cs="Arial" w:hint="eastAsia"/>
                <w:b/>
                <w:bCs/>
                <w:color w:val="000000"/>
                <w:kern w:val="0"/>
                <w:sz w:val="22"/>
              </w:rPr>
              <w:t>本年支出合计</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21</w:t>
            </w:r>
          </w:p>
        </w:tc>
        <w:tc>
          <w:tcPr>
            <w:tcW w:w="2376"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sz w:val="22"/>
              </w:rPr>
            </w:pPr>
            <w:r>
              <w:rPr>
                <w:rFonts w:ascii="宋体" w:cs="Arial"/>
                <w:color w:val="000000"/>
                <w:sz w:val="22"/>
              </w:rPr>
              <w:t>4,681.04</w:t>
            </w: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使用非财政拨款结余</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10</w:t>
            </w:r>
          </w:p>
        </w:tc>
        <w:tc>
          <w:tcPr>
            <w:tcW w:w="201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sz w:val="22"/>
              </w:rPr>
            </w:pPr>
            <w:r>
              <w:rPr>
                <w:rFonts w:ascii="宋体" w:cs="Arial"/>
                <w:color w:val="000000"/>
                <w:sz w:val="22"/>
              </w:rPr>
              <w:t>760.86</w:t>
            </w:r>
          </w:p>
        </w:tc>
        <w:tc>
          <w:tcPr>
            <w:tcW w:w="3652"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结余分配</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22</w:t>
            </w:r>
          </w:p>
        </w:tc>
        <w:tc>
          <w:tcPr>
            <w:tcW w:w="23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年初结转和结余</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11</w:t>
            </w:r>
          </w:p>
        </w:tc>
        <w:tc>
          <w:tcPr>
            <w:tcW w:w="201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sz w:val="22"/>
              </w:rPr>
            </w:pPr>
            <w:r>
              <w:rPr>
                <w:rFonts w:ascii="宋体" w:cs="Arial"/>
                <w:color w:val="000000"/>
                <w:sz w:val="22"/>
              </w:rPr>
              <w:t>370.31</w:t>
            </w:r>
          </w:p>
        </w:tc>
        <w:tc>
          <w:tcPr>
            <w:tcW w:w="3652"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年末结转和结余</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23</w:t>
            </w:r>
          </w:p>
        </w:tc>
        <w:tc>
          <w:tcPr>
            <w:tcW w:w="23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color w:val="000000"/>
                <w:sz w:val="22"/>
              </w:rPr>
              <w:t>415.26</w:t>
            </w: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jc w:val="center"/>
              <w:rPr>
                <w:rFonts w:ascii="宋体" w:cs="Arial"/>
                <w:b/>
                <w:bCs/>
                <w:color w:val="000000"/>
                <w:kern w:val="0"/>
                <w:sz w:val="22"/>
              </w:rPr>
            </w:pPr>
            <w:r>
              <w:rPr>
                <w:rFonts w:ascii="宋体" w:cs="Arial" w:hint="eastAsia"/>
                <w:b/>
                <w:bCs/>
                <w:color w:val="000000"/>
                <w:kern w:val="0"/>
                <w:sz w:val="22"/>
              </w:rPr>
              <w:t>总计</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12</w:t>
            </w:r>
          </w:p>
        </w:tc>
        <w:tc>
          <w:tcPr>
            <w:tcW w:w="201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sz w:val="22"/>
              </w:rPr>
            </w:pPr>
            <w:r>
              <w:rPr>
                <w:rFonts w:ascii="宋体" w:cs="Arial"/>
                <w:color w:val="000000"/>
                <w:sz w:val="22"/>
              </w:rPr>
              <w:t>5,096.30</w:t>
            </w:r>
          </w:p>
        </w:tc>
        <w:tc>
          <w:tcPr>
            <w:tcW w:w="3652"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b/>
                <w:bCs/>
                <w:color w:val="000000"/>
                <w:kern w:val="0"/>
                <w:sz w:val="22"/>
              </w:rPr>
            </w:pPr>
            <w:r>
              <w:rPr>
                <w:rFonts w:ascii="宋体" w:cs="Arial" w:hint="eastAsia"/>
                <w:b/>
                <w:bCs/>
                <w:color w:val="000000"/>
                <w:kern w:val="0"/>
                <w:sz w:val="22"/>
              </w:rPr>
              <w:t>总计</w:t>
            </w:r>
          </w:p>
        </w:tc>
        <w:tc>
          <w:tcPr>
            <w:tcW w:w="704"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24</w:t>
            </w:r>
          </w:p>
        </w:tc>
        <w:tc>
          <w:tcPr>
            <w:tcW w:w="2376" w:type="dxa"/>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sz w:val="22"/>
              </w:rPr>
            </w:pPr>
            <w:r>
              <w:rPr>
                <w:rFonts w:ascii="宋体" w:cs="Arial"/>
                <w:color w:val="000000"/>
                <w:sz w:val="22"/>
              </w:rPr>
              <w:t>5,096.30</w:t>
            </w:r>
          </w:p>
        </w:tc>
      </w:tr>
      <w:tr>
        <w:trPr>
          <w:trHeight w:val="315"/>
        </w:trPr>
        <w:tc>
          <w:tcPr>
            <w:tcW w:w="14083" w:type="dxa"/>
            <w:gridSpan w:val="6"/>
            <w:tcBorders>
              <w:top w:val="single" w:sz="6" w:space="0" w:color="000000"/>
              <w:left w:val="nil"/>
              <w:bottom w:val="nil"/>
              <w:right w:val="nil"/>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注：1.本表反映部门本年度的总收支和年末结转结余情况。</w:t>
            </w:r>
          </w:p>
          <w:p>
            <w:pPr>
              <w:widowControl/>
              <w:jc w:val="left"/>
              <w:rPr>
                <w:rFonts w:ascii="宋体" w:cs="Arial"/>
                <w:color w:val="000000"/>
                <w:kern w:val="0"/>
                <w:sz w:val="22"/>
              </w:rPr>
            </w:pPr>
            <w:r>
              <w:rPr>
                <w:rFonts w:ascii="宋体" w:cs="Arial" w:hint="eastAsia"/>
                <w:color w:val="000000"/>
                <w:kern w:val="0"/>
                <w:sz w:val="22"/>
              </w:rPr>
              <w:t>2.本套报表金额单位转换时可能存在尾数误差。</w:t>
            </w:r>
          </w:p>
        </w:tc>
      </w:tr>
    </w:tbl>
    <w:p/>
    <w:p/>
    <w:tbl>
      <w:tblPr>
        <w:jc w:val="left"/>
        <w:tblW w:w="5092"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301"/>
        <w:gridCol w:w="331"/>
        <w:gridCol w:w="365"/>
        <w:gridCol w:w="3647"/>
        <w:gridCol w:w="1843"/>
        <w:gridCol w:w="1559"/>
        <w:gridCol w:w="1134"/>
        <w:gridCol w:w="1276"/>
        <w:gridCol w:w="1134"/>
        <w:gridCol w:w="1276"/>
        <w:gridCol w:w="1571"/>
      </w:tblGrid>
      <w:tr>
        <w:trPr>
          <w:trHeight w:val="345"/>
        </w:trPr>
        <w:tc>
          <w:tcPr>
            <w:tcW w:w="14437" w:type="dxa"/>
            <w:gridSpan w:val="11"/>
            <w:tcBorders>
              <w:top w:val="nil"/>
              <w:left w:val="nil"/>
              <w:bottom w:val="nil"/>
              <w:right w:val="nil"/>
            </w:tcBorders>
            <w:shd w:val="clear" w:color="auto" w:fill="auto"/>
            <w:noWrap/>
            <w:vAlign w:val="bottom"/>
          </w:tcPr>
          <w:p>
            <w:pPr>
              <w:widowControl/>
              <w:jc w:val="center"/>
              <w:rPr>
                <w:rFonts w:ascii="宋体" w:cs="Arial"/>
                <w:color w:val="000000"/>
                <w:kern w:val="0"/>
                <w:sz w:val="30"/>
                <w:szCs w:val="30"/>
              </w:rPr>
            </w:pPr>
          </w:p>
          <w:p>
            <w:pPr>
              <w:widowControl/>
              <w:jc w:val="center"/>
              <w:rPr>
                <w:rFonts w:ascii="宋体" w:cs="Arial"/>
                <w:color w:val="000000"/>
                <w:kern w:val="0"/>
                <w:sz w:val="30"/>
                <w:szCs w:val="30"/>
              </w:rPr>
            </w:pPr>
          </w:p>
          <w:p>
            <w:pPr>
              <w:widowControl/>
              <w:jc w:val="center"/>
              <w:rPr>
                <w:rFonts w:ascii="宋体" w:cs="Arial"/>
                <w:color w:val="000000"/>
                <w:kern w:val="0"/>
                <w:sz w:val="30"/>
                <w:szCs w:val="30"/>
              </w:rPr>
            </w:pPr>
          </w:p>
          <w:p>
            <w:pPr>
              <w:widowControl/>
              <w:jc w:val="center"/>
              <w:rPr>
                <w:rFonts w:ascii="宋体" w:cs="Arial"/>
                <w:color w:val="000000"/>
                <w:kern w:val="0"/>
                <w:sz w:val="30"/>
                <w:szCs w:val="30"/>
              </w:rPr>
            </w:pPr>
            <w:r>
              <w:rPr>
                <w:rFonts w:hint="eastAsia"/>
                <w:b/>
                <w:sz w:val="44"/>
                <w:szCs w:val="44"/>
              </w:rPr>
              <w:t>收入决算表</w:t>
            </w:r>
          </w:p>
        </w:tc>
      </w:tr>
      <w:tr>
        <w:trPr>
          <w:trHeight w:val="255"/>
        </w:trPr>
        <w:tc>
          <w:tcPr>
            <w:tcW w:w="301"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31"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65"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647"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84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559"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13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7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13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7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571"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公开02表</w:t>
            </w:r>
          </w:p>
        </w:tc>
      </w:tr>
      <w:tr>
        <w:trPr>
          <w:trHeight w:val="435"/>
        </w:trPr>
        <w:tc>
          <w:tcPr>
            <w:tcW w:w="4644" w:type="dxa"/>
            <w:gridSpan w:val="4"/>
            <w:tcBorders>
              <w:top w:val="nil"/>
              <w:left w:val="nil"/>
              <w:bottom w:val="single" w:sz="6" w:space="0" w:color="000000"/>
              <w:right w:val="nil"/>
            </w:tcBorders>
            <w:shd w:val="clear" w:color="auto" w:fill="auto"/>
            <w:noWrap/>
            <w:vAlign w:val="bottom"/>
          </w:tcPr>
          <w:p>
            <w:pPr>
              <w:widowControl/>
              <w:jc w:val="left"/>
              <w:rPr>
                <w:rFonts w:ascii="宋体" w:cs="Arial"/>
                <w:color w:val="000000"/>
                <w:kern w:val="0"/>
                <w:sz w:val="22"/>
              </w:rPr>
            </w:pPr>
            <w:r>
              <w:rPr>
                <w:rFonts w:ascii="宋体" w:cs="Arial" w:hint="eastAsia"/>
                <w:color w:val="000000"/>
                <w:kern w:val="0"/>
                <w:sz w:val="22"/>
              </w:rPr>
              <w:t>部门：重庆海关技术中心</w:t>
            </w:r>
          </w:p>
        </w:tc>
        <w:tc>
          <w:tcPr>
            <w:tcW w:w="184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559"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13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7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13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7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571"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15"/>
        </w:trPr>
        <w:tc>
          <w:tcPr>
            <w:tcW w:w="4644" w:type="dxa"/>
            <w:gridSpan w:val="4"/>
            <w:tcBorders>
              <w:top w:val="single" w:sz="6" w:space="0" w:color="000000"/>
              <w:left w:val="single" w:sz="6" w:space="0" w:color="000000"/>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项目</w:t>
            </w:r>
          </w:p>
        </w:tc>
        <w:tc>
          <w:tcPr>
            <w:tcW w:w="1843"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本年收入合计</w:t>
            </w:r>
          </w:p>
        </w:tc>
        <w:tc>
          <w:tcPr>
            <w:tcW w:w="1559"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财政拨款收入</w:t>
            </w:r>
          </w:p>
        </w:tc>
        <w:tc>
          <w:tcPr>
            <w:tcW w:w="1134"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上级补助收入</w:t>
            </w:r>
          </w:p>
        </w:tc>
        <w:tc>
          <w:tcPr>
            <w:tcW w:w="1276"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事业收入</w:t>
            </w:r>
          </w:p>
        </w:tc>
        <w:tc>
          <w:tcPr>
            <w:tcW w:w="1134"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经营收入</w:t>
            </w:r>
          </w:p>
        </w:tc>
        <w:tc>
          <w:tcPr>
            <w:tcW w:w="1276"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附属单位上缴收入</w:t>
            </w:r>
          </w:p>
        </w:tc>
        <w:tc>
          <w:tcPr>
            <w:tcW w:w="1571"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其他收入</w:t>
            </w:r>
          </w:p>
        </w:tc>
      </w:tr>
      <w:tr>
        <w:trPr>
          <w:trHeight w:val="315"/>
        </w:trPr>
        <w:tc>
          <w:tcPr>
            <w:tcW w:w="997" w:type="dxa"/>
            <w:gridSpan w:val="3"/>
            <w:vMerge w:val="restart"/>
            <w:tcBorders>
              <w:top w:val="nil"/>
              <w:left w:val="single" w:sz="6" w:space="0" w:color="000000"/>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功能分类科目编码</w:t>
            </w:r>
          </w:p>
        </w:tc>
        <w:tc>
          <w:tcPr>
            <w:tcW w:w="3647" w:type="dxa"/>
            <w:vMerge w:val="restart"/>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科目名称</w:t>
            </w:r>
          </w:p>
        </w:tc>
        <w:tc>
          <w:tcPr>
            <w:tcW w:w="1843" w:type="dxa"/>
            <w:vMerge/>
            <w:tcBorders>
              <w:top w:val="single" w:sz="6" w:space="0" w:color="000000"/>
              <w:left w:val="nil"/>
              <w:bottom w:val="single" w:sz="6" w:space="0" w:color="000000"/>
              <w:right w:val="single" w:sz="6" w:space="0" w:color="000000"/>
            </w:tcBorders>
            <w:vAlign w:val="center"/>
          </w:tcPr>
          <w:p/>
        </w:tc>
        <w:tc>
          <w:tcPr>
            <w:tcW w:w="1559" w:type="dxa"/>
            <w:vMerge/>
            <w:tcBorders>
              <w:top w:val="single" w:sz="6" w:space="0" w:color="000000"/>
              <w:left w:val="nil"/>
              <w:bottom w:val="single" w:sz="6" w:space="0" w:color="000000"/>
              <w:right w:val="single" w:sz="6" w:space="0" w:color="000000"/>
            </w:tcBorders>
            <w:vAlign w:val="center"/>
          </w:tcPr>
          <w:p/>
        </w:tc>
        <w:tc>
          <w:tcPr>
            <w:tcW w:w="1134" w:type="dxa"/>
            <w:vMerge/>
            <w:tcBorders>
              <w:top w:val="single" w:sz="6" w:space="0" w:color="000000"/>
              <w:left w:val="nil"/>
              <w:bottom w:val="single" w:sz="6" w:space="0" w:color="000000"/>
              <w:right w:val="single" w:sz="6" w:space="0" w:color="000000"/>
            </w:tcBorders>
            <w:vAlign w:val="center"/>
          </w:tcPr>
          <w:p/>
        </w:tc>
        <w:tc>
          <w:tcPr>
            <w:tcW w:w="1276" w:type="dxa"/>
            <w:vMerge/>
            <w:tcBorders>
              <w:top w:val="single" w:sz="6" w:space="0" w:color="000000"/>
              <w:left w:val="nil"/>
              <w:bottom w:val="single" w:sz="6" w:space="0" w:color="000000"/>
              <w:right w:val="single" w:sz="6" w:space="0" w:color="000000"/>
            </w:tcBorders>
            <w:vAlign w:val="center"/>
          </w:tcPr>
          <w:p/>
        </w:tc>
        <w:tc>
          <w:tcPr>
            <w:tcW w:w="1134" w:type="dxa"/>
            <w:vMerge/>
            <w:tcBorders>
              <w:top w:val="single" w:sz="6" w:space="0" w:color="000000"/>
              <w:left w:val="nil"/>
              <w:bottom w:val="single" w:sz="6" w:space="0" w:color="000000"/>
              <w:right w:val="single" w:sz="6" w:space="0" w:color="000000"/>
            </w:tcBorders>
            <w:vAlign w:val="center"/>
          </w:tcPr>
          <w:p/>
        </w:tc>
        <w:tc>
          <w:tcPr>
            <w:tcW w:w="1276" w:type="dxa"/>
            <w:vMerge/>
            <w:tcBorders>
              <w:top w:val="single" w:sz="6" w:space="0" w:color="000000"/>
              <w:left w:val="nil"/>
              <w:bottom w:val="single" w:sz="6" w:space="0" w:color="000000"/>
              <w:right w:val="single" w:sz="6" w:space="0" w:color="000000"/>
            </w:tcBorders>
            <w:vAlign w:val="center"/>
          </w:tcPr>
          <w:p/>
        </w:tc>
        <w:tc>
          <w:tcPr>
            <w:tcW w:w="1571" w:type="dxa"/>
            <w:vMerge/>
            <w:tcBorders>
              <w:top w:val="single" w:sz="6" w:space="0" w:color="000000"/>
              <w:left w:val="nil"/>
              <w:bottom w:val="single" w:sz="6" w:space="0" w:color="000000"/>
              <w:right w:val="single" w:sz="6" w:space="0" w:color="000000"/>
            </w:tcBorders>
            <w:vAlign w:val="center"/>
          </w:tcPr>
          <w:p/>
        </w:tc>
      </w:tr>
      <w:tr>
        <w:trPr>
          <w:trHeight w:val="315"/>
        </w:trPr>
        <w:tc>
          <w:tcPr>
            <w:tcW w:w="997" w:type="dxa"/>
            <w:gridSpan w:val="3"/>
            <w:vMerge/>
            <w:tcBorders>
              <w:top w:val="nil"/>
              <w:left w:val="single" w:sz="6" w:space="0" w:color="000000"/>
              <w:bottom w:val="single" w:sz="6" w:space="0" w:color="000000"/>
              <w:right w:val="single" w:sz="6" w:space="0" w:color="000000"/>
            </w:tcBorders>
            <w:vAlign w:val="center"/>
          </w:tcPr>
          <w:p/>
        </w:tc>
        <w:tc>
          <w:tcPr>
            <w:tcW w:w="3647" w:type="dxa"/>
            <w:vMerge/>
            <w:tcBorders>
              <w:top w:val="nil"/>
              <w:left w:val="nil"/>
              <w:bottom w:val="single" w:sz="6" w:space="0" w:color="000000"/>
              <w:right w:val="single" w:sz="6" w:space="0" w:color="000000"/>
            </w:tcBorders>
            <w:vAlign w:val="center"/>
          </w:tcPr>
          <w:p/>
        </w:tc>
        <w:tc>
          <w:tcPr>
            <w:tcW w:w="1843" w:type="dxa"/>
            <w:vMerge/>
            <w:tcBorders>
              <w:top w:val="single" w:sz="6" w:space="0" w:color="000000"/>
              <w:left w:val="nil"/>
              <w:bottom w:val="single" w:sz="6" w:space="0" w:color="000000"/>
              <w:right w:val="single" w:sz="6" w:space="0" w:color="000000"/>
            </w:tcBorders>
            <w:vAlign w:val="center"/>
          </w:tcPr>
          <w:p/>
        </w:tc>
        <w:tc>
          <w:tcPr>
            <w:tcW w:w="1559" w:type="dxa"/>
            <w:vMerge/>
            <w:tcBorders>
              <w:top w:val="single" w:sz="6" w:space="0" w:color="000000"/>
              <w:left w:val="nil"/>
              <w:bottom w:val="single" w:sz="6" w:space="0" w:color="000000"/>
              <w:right w:val="single" w:sz="6" w:space="0" w:color="000000"/>
            </w:tcBorders>
            <w:vAlign w:val="center"/>
          </w:tcPr>
          <w:p/>
        </w:tc>
        <w:tc>
          <w:tcPr>
            <w:tcW w:w="1134" w:type="dxa"/>
            <w:vMerge/>
            <w:tcBorders>
              <w:top w:val="single" w:sz="6" w:space="0" w:color="000000"/>
              <w:left w:val="nil"/>
              <w:bottom w:val="single" w:sz="6" w:space="0" w:color="000000"/>
              <w:right w:val="single" w:sz="6" w:space="0" w:color="000000"/>
            </w:tcBorders>
            <w:vAlign w:val="center"/>
          </w:tcPr>
          <w:p/>
        </w:tc>
        <w:tc>
          <w:tcPr>
            <w:tcW w:w="1276" w:type="dxa"/>
            <w:vMerge/>
            <w:tcBorders>
              <w:top w:val="single" w:sz="6" w:space="0" w:color="000000"/>
              <w:left w:val="nil"/>
              <w:bottom w:val="single" w:sz="6" w:space="0" w:color="000000"/>
              <w:right w:val="single" w:sz="6" w:space="0" w:color="000000"/>
            </w:tcBorders>
            <w:vAlign w:val="center"/>
          </w:tcPr>
          <w:p/>
        </w:tc>
        <w:tc>
          <w:tcPr>
            <w:tcW w:w="1134" w:type="dxa"/>
            <w:vMerge/>
            <w:tcBorders>
              <w:top w:val="single" w:sz="6" w:space="0" w:color="000000"/>
              <w:left w:val="nil"/>
              <w:bottom w:val="single" w:sz="6" w:space="0" w:color="000000"/>
              <w:right w:val="single" w:sz="6" w:space="0" w:color="000000"/>
            </w:tcBorders>
            <w:vAlign w:val="center"/>
          </w:tcPr>
          <w:p/>
        </w:tc>
        <w:tc>
          <w:tcPr>
            <w:tcW w:w="1276" w:type="dxa"/>
            <w:vMerge/>
            <w:tcBorders>
              <w:top w:val="single" w:sz="6" w:space="0" w:color="000000"/>
              <w:left w:val="nil"/>
              <w:bottom w:val="single" w:sz="6" w:space="0" w:color="000000"/>
              <w:right w:val="single" w:sz="6" w:space="0" w:color="000000"/>
            </w:tcBorders>
            <w:vAlign w:val="center"/>
          </w:tcPr>
          <w:p/>
        </w:tc>
        <w:tc>
          <w:tcPr>
            <w:tcW w:w="1571" w:type="dxa"/>
            <w:vMerge/>
            <w:tcBorders>
              <w:top w:val="single" w:sz="6" w:space="0" w:color="000000"/>
              <w:left w:val="nil"/>
              <w:bottom w:val="single" w:sz="6" w:space="0" w:color="000000"/>
              <w:right w:val="single" w:sz="6" w:space="0" w:color="000000"/>
            </w:tcBorders>
            <w:vAlign w:val="center"/>
          </w:tcPr>
          <w:p/>
        </w:tc>
      </w:tr>
      <w:tr>
        <w:trPr>
          <w:trHeight w:val="315"/>
        </w:trPr>
        <w:tc>
          <w:tcPr>
            <w:tcW w:w="997" w:type="dxa"/>
            <w:gridSpan w:val="3"/>
            <w:vMerge/>
            <w:tcBorders>
              <w:top w:val="nil"/>
              <w:left w:val="single" w:sz="6" w:space="0" w:color="000000"/>
              <w:bottom w:val="single" w:sz="6" w:space="0" w:color="000000"/>
              <w:right w:val="single" w:sz="6" w:space="0" w:color="000000"/>
            </w:tcBorders>
            <w:vAlign w:val="center"/>
          </w:tcPr>
          <w:p/>
        </w:tc>
        <w:tc>
          <w:tcPr>
            <w:tcW w:w="3647" w:type="dxa"/>
            <w:vMerge/>
            <w:tcBorders>
              <w:top w:val="nil"/>
              <w:left w:val="nil"/>
              <w:bottom w:val="single" w:sz="6" w:space="0" w:color="000000"/>
              <w:right w:val="single" w:sz="6" w:space="0" w:color="000000"/>
            </w:tcBorders>
            <w:vAlign w:val="center"/>
          </w:tcPr>
          <w:p/>
        </w:tc>
        <w:tc>
          <w:tcPr>
            <w:tcW w:w="1843" w:type="dxa"/>
            <w:vMerge/>
            <w:tcBorders>
              <w:top w:val="single" w:sz="6" w:space="0" w:color="000000"/>
              <w:left w:val="nil"/>
              <w:bottom w:val="single" w:sz="6" w:space="0" w:color="000000"/>
              <w:right w:val="single" w:sz="6" w:space="0" w:color="000000"/>
            </w:tcBorders>
            <w:vAlign w:val="center"/>
          </w:tcPr>
          <w:p/>
        </w:tc>
        <w:tc>
          <w:tcPr>
            <w:tcW w:w="1559" w:type="dxa"/>
            <w:vMerge/>
            <w:tcBorders>
              <w:top w:val="single" w:sz="6" w:space="0" w:color="000000"/>
              <w:left w:val="nil"/>
              <w:bottom w:val="single" w:sz="6" w:space="0" w:color="000000"/>
              <w:right w:val="single" w:sz="6" w:space="0" w:color="000000"/>
            </w:tcBorders>
            <w:vAlign w:val="center"/>
          </w:tcPr>
          <w:p/>
        </w:tc>
        <w:tc>
          <w:tcPr>
            <w:tcW w:w="1134" w:type="dxa"/>
            <w:vMerge/>
            <w:tcBorders>
              <w:top w:val="single" w:sz="6" w:space="0" w:color="000000"/>
              <w:left w:val="nil"/>
              <w:bottom w:val="single" w:sz="6" w:space="0" w:color="000000"/>
              <w:right w:val="single" w:sz="6" w:space="0" w:color="000000"/>
            </w:tcBorders>
            <w:vAlign w:val="center"/>
          </w:tcPr>
          <w:p/>
        </w:tc>
        <w:tc>
          <w:tcPr>
            <w:tcW w:w="1276" w:type="dxa"/>
            <w:vMerge/>
            <w:tcBorders>
              <w:top w:val="single" w:sz="6" w:space="0" w:color="000000"/>
              <w:left w:val="nil"/>
              <w:bottom w:val="single" w:sz="6" w:space="0" w:color="000000"/>
              <w:right w:val="single" w:sz="6" w:space="0" w:color="000000"/>
            </w:tcBorders>
            <w:vAlign w:val="center"/>
          </w:tcPr>
          <w:p/>
        </w:tc>
        <w:tc>
          <w:tcPr>
            <w:tcW w:w="1134" w:type="dxa"/>
            <w:vMerge/>
            <w:tcBorders>
              <w:top w:val="single" w:sz="6" w:space="0" w:color="000000"/>
              <w:left w:val="nil"/>
              <w:bottom w:val="single" w:sz="6" w:space="0" w:color="000000"/>
              <w:right w:val="single" w:sz="6" w:space="0" w:color="000000"/>
            </w:tcBorders>
            <w:vAlign w:val="center"/>
          </w:tcPr>
          <w:p/>
        </w:tc>
        <w:tc>
          <w:tcPr>
            <w:tcW w:w="1276" w:type="dxa"/>
            <w:vMerge/>
            <w:tcBorders>
              <w:top w:val="single" w:sz="6" w:space="0" w:color="000000"/>
              <w:left w:val="nil"/>
              <w:bottom w:val="single" w:sz="6" w:space="0" w:color="000000"/>
              <w:right w:val="single" w:sz="6" w:space="0" w:color="000000"/>
            </w:tcBorders>
            <w:vAlign w:val="center"/>
          </w:tcPr>
          <w:p/>
        </w:tc>
        <w:tc>
          <w:tcPr>
            <w:tcW w:w="1571" w:type="dxa"/>
            <w:vMerge/>
            <w:tcBorders>
              <w:top w:val="single" w:sz="6" w:space="0" w:color="000000"/>
              <w:left w:val="nil"/>
              <w:bottom w:val="single" w:sz="6" w:space="0" w:color="000000"/>
              <w:right w:val="single" w:sz="6" w:space="0" w:color="000000"/>
            </w:tcBorders>
            <w:vAlign w:val="center"/>
          </w:tcPr>
          <w:p/>
        </w:tc>
      </w:tr>
      <w:tr>
        <w:trPr>
          <w:trHeight w:val="315"/>
        </w:trPr>
        <w:tc>
          <w:tcPr>
            <w:tcW w:w="4644" w:type="dxa"/>
            <w:gridSpan w:val="4"/>
            <w:tcBorders>
              <w:top w:val="nil"/>
              <w:left w:val="single" w:sz="6" w:space="0" w:color="000000"/>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栏次</w:t>
            </w:r>
          </w:p>
        </w:tc>
        <w:tc>
          <w:tcPr>
            <w:tcW w:w="1843" w:type="dxa"/>
            <w:tcBorders>
              <w:top w:val="nil"/>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1</w:t>
            </w:r>
          </w:p>
        </w:tc>
        <w:tc>
          <w:tcPr>
            <w:tcW w:w="1559" w:type="dxa"/>
            <w:tcBorders>
              <w:top w:val="nil"/>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2</w:t>
            </w:r>
          </w:p>
        </w:tc>
        <w:tc>
          <w:tcPr>
            <w:tcW w:w="1134" w:type="dxa"/>
            <w:tcBorders>
              <w:top w:val="nil"/>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3</w:t>
            </w:r>
          </w:p>
        </w:tc>
        <w:tc>
          <w:tcPr>
            <w:tcW w:w="1276" w:type="dxa"/>
            <w:tcBorders>
              <w:top w:val="nil"/>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4</w:t>
            </w:r>
          </w:p>
        </w:tc>
        <w:tc>
          <w:tcPr>
            <w:tcW w:w="1134" w:type="dxa"/>
            <w:tcBorders>
              <w:top w:val="nil"/>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5</w:t>
            </w:r>
          </w:p>
        </w:tc>
        <w:tc>
          <w:tcPr>
            <w:tcW w:w="1276" w:type="dxa"/>
            <w:tcBorders>
              <w:top w:val="nil"/>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6</w:t>
            </w:r>
          </w:p>
        </w:tc>
        <w:tc>
          <w:tcPr>
            <w:tcW w:w="1571" w:type="dxa"/>
            <w:tcBorders>
              <w:top w:val="nil"/>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7</w:t>
            </w:r>
          </w:p>
        </w:tc>
      </w:tr>
      <w:tr>
        <w:trPr>
          <w:trHeight w:val="315"/>
        </w:trPr>
        <w:tc>
          <w:tcPr>
            <w:tcW w:w="4644" w:type="dxa"/>
            <w:gridSpan w:val="4"/>
            <w:tcBorders>
              <w:top w:val="nil"/>
              <w:left w:val="single" w:sz="6" w:space="0" w:color="000000"/>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合计</w:t>
            </w:r>
          </w:p>
        </w:tc>
        <w:tc>
          <w:tcPr>
            <w:tcW w:w="1843" w:type="dxa"/>
            <w:tcBorders>
              <w:top w:val="nil"/>
              <w:left w:val="nil"/>
              <w:bottom w:val="single" w:sz="6" w:space="0" w:color="000000"/>
              <w:right w:val="single" w:sz="6" w:space="0" w:color="000000"/>
            </w:tcBorders>
            <w:shd w:val="clear" w:color="auto" w:fill="auto"/>
            <w:noWrap/>
            <w:vAlign w:val="center"/>
          </w:tcPr>
          <w:p>
            <w:pPr>
              <w:jc w:val="center"/>
              <w:rPr>
                <w:rFonts w:ascii="宋体" w:cs="Arial"/>
                <w:bCs/>
                <w:color w:val="000000"/>
                <w:sz w:val="22"/>
              </w:rPr>
            </w:pPr>
            <w:r>
              <w:rPr>
                <w:rFonts w:ascii="宋体" w:cs="Arial" w:hint="eastAsia"/>
                <w:bCs/>
                <w:color w:val="000000"/>
                <w:sz w:val="22"/>
              </w:rPr>
              <w:t>3,965.13</w:t>
            </w:r>
          </w:p>
        </w:tc>
        <w:tc>
          <w:tcPr>
            <w:tcW w:w="1559" w:type="dxa"/>
            <w:tcBorders>
              <w:top w:val="nil"/>
              <w:left w:val="nil"/>
              <w:bottom w:val="single" w:sz="6" w:space="0" w:color="000000"/>
              <w:right w:val="single" w:sz="6" w:space="0" w:color="000000"/>
            </w:tcBorders>
            <w:shd w:val="clear" w:color="auto" w:fill="auto"/>
            <w:noWrap/>
            <w:vAlign w:val="center"/>
          </w:tcPr>
          <w:p>
            <w:pPr>
              <w:jc w:val="center"/>
              <w:rPr>
                <w:rFonts w:ascii="宋体" w:cs="Arial"/>
                <w:bCs/>
                <w:color w:val="000000"/>
                <w:sz w:val="22"/>
              </w:rPr>
            </w:pPr>
            <w:r>
              <w:rPr>
                <w:rFonts w:ascii="宋体" w:cs="Arial" w:hint="eastAsia"/>
                <w:bCs/>
                <w:color w:val="000000"/>
                <w:sz w:val="22"/>
              </w:rPr>
              <w:t>1,135.38</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bCs/>
                <w:color w:val="000000"/>
                <w:sz w:val="22"/>
              </w:rPr>
            </w:pPr>
            <w:r>
              <w:rPr>
                <w:rFonts w:ascii="宋体" w:cs="Arial" w:hint="eastAsia"/>
                <w:bCs/>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bCs/>
                <w:color w:val="000000"/>
                <w:sz w:val="22"/>
              </w:rPr>
            </w:pPr>
            <w:r>
              <w:rPr>
                <w:rFonts w:ascii="宋体" w:cs="Arial" w:hint="eastAsia"/>
                <w:bCs/>
                <w:color w:val="000000"/>
                <w:sz w:val="22"/>
              </w:rPr>
              <w:t>2,488.76</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bCs/>
                <w:color w:val="000000"/>
                <w:sz w:val="22"/>
              </w:rPr>
            </w:pPr>
            <w:r>
              <w:rPr>
                <w:rFonts w:ascii="宋体" w:cs="Arial" w:hint="eastAsia"/>
                <w:bCs/>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bCs/>
                <w:color w:val="000000"/>
                <w:sz w:val="22"/>
              </w:rPr>
            </w:pPr>
            <w:r>
              <w:rPr>
                <w:rFonts w:ascii="宋体" w:cs="Arial" w:hint="eastAsia"/>
                <w:bCs/>
                <w:color w:val="000000"/>
                <w:sz w:val="22"/>
              </w:rPr>
              <w:t>0.00</w:t>
            </w:r>
          </w:p>
        </w:tc>
        <w:tc>
          <w:tcPr>
            <w:tcW w:w="1571" w:type="dxa"/>
            <w:tcBorders>
              <w:top w:val="nil"/>
              <w:left w:val="nil"/>
              <w:bottom w:val="single" w:sz="6" w:space="0" w:color="000000"/>
              <w:right w:val="single" w:sz="6" w:space="0" w:color="000000"/>
            </w:tcBorders>
            <w:shd w:val="clear" w:color="auto" w:fill="auto"/>
            <w:noWrap/>
            <w:vAlign w:val="center"/>
          </w:tcPr>
          <w:p>
            <w:pPr>
              <w:jc w:val="center"/>
              <w:rPr>
                <w:rFonts w:ascii="宋体" w:cs="Arial"/>
                <w:bCs/>
                <w:color w:val="000000"/>
                <w:sz w:val="22"/>
              </w:rPr>
            </w:pPr>
            <w:r>
              <w:rPr>
                <w:rFonts w:ascii="宋体" w:cs="Arial" w:hint="eastAsia"/>
                <w:bCs/>
                <w:color w:val="000000"/>
                <w:sz w:val="22"/>
              </w:rPr>
              <w:t>340.99</w:t>
            </w:r>
          </w:p>
        </w:tc>
      </w:tr>
      <w:tr>
        <w:trPr>
          <w:trHeight w:val="315"/>
        </w:trPr>
        <w:tc>
          <w:tcPr>
            <w:tcW w:w="997"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201</w:t>
            </w:r>
          </w:p>
        </w:tc>
        <w:tc>
          <w:tcPr>
            <w:tcW w:w="3647"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一般公共服务支出</w:t>
            </w:r>
          </w:p>
        </w:tc>
        <w:tc>
          <w:tcPr>
            <w:tcW w:w="184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3,828.66</w:t>
            </w:r>
          </w:p>
        </w:tc>
        <w:tc>
          <w:tcPr>
            <w:tcW w:w="155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1,000.38</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2,487.29</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571"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340.99</w:t>
            </w:r>
          </w:p>
        </w:tc>
      </w:tr>
      <w:tr>
        <w:trPr>
          <w:trHeight w:val="315"/>
        </w:trPr>
        <w:tc>
          <w:tcPr>
            <w:tcW w:w="997"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20109</w:t>
            </w:r>
          </w:p>
        </w:tc>
        <w:tc>
          <w:tcPr>
            <w:tcW w:w="3647"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海关事务</w:t>
            </w:r>
          </w:p>
        </w:tc>
        <w:tc>
          <w:tcPr>
            <w:tcW w:w="184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3,828.66</w:t>
            </w:r>
          </w:p>
        </w:tc>
        <w:tc>
          <w:tcPr>
            <w:tcW w:w="155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1,000.38</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2,487.29</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571"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340.99</w:t>
            </w:r>
          </w:p>
        </w:tc>
      </w:tr>
      <w:tr>
        <w:trPr>
          <w:trHeight w:val="315"/>
        </w:trPr>
        <w:tc>
          <w:tcPr>
            <w:tcW w:w="997"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2010902</w:t>
            </w:r>
          </w:p>
        </w:tc>
        <w:tc>
          <w:tcPr>
            <w:tcW w:w="3647"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 xml:space="preserve">  一般行政管理事务</w:t>
            </w:r>
          </w:p>
        </w:tc>
        <w:tc>
          <w:tcPr>
            <w:tcW w:w="184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6.00</w:t>
            </w:r>
          </w:p>
        </w:tc>
        <w:tc>
          <w:tcPr>
            <w:tcW w:w="155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6.00</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571"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997"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2010909</w:t>
            </w:r>
          </w:p>
        </w:tc>
        <w:tc>
          <w:tcPr>
            <w:tcW w:w="3647"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 xml:space="preserve">  海关关务</w:t>
            </w:r>
          </w:p>
        </w:tc>
        <w:tc>
          <w:tcPr>
            <w:tcW w:w="184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173.00</w:t>
            </w:r>
          </w:p>
        </w:tc>
        <w:tc>
          <w:tcPr>
            <w:tcW w:w="155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173.00</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571"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997"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2010912</w:t>
            </w:r>
          </w:p>
        </w:tc>
        <w:tc>
          <w:tcPr>
            <w:tcW w:w="3647"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 xml:space="preserve">  检验检疫</w:t>
            </w:r>
          </w:p>
        </w:tc>
        <w:tc>
          <w:tcPr>
            <w:tcW w:w="184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465.79</w:t>
            </w:r>
          </w:p>
        </w:tc>
        <w:tc>
          <w:tcPr>
            <w:tcW w:w="155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465.79</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571"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997"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2010950</w:t>
            </w:r>
          </w:p>
        </w:tc>
        <w:tc>
          <w:tcPr>
            <w:tcW w:w="3647"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 xml:space="preserve">  事业运行</w:t>
            </w:r>
          </w:p>
        </w:tc>
        <w:tc>
          <w:tcPr>
            <w:tcW w:w="184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3,183.87</w:t>
            </w:r>
          </w:p>
        </w:tc>
        <w:tc>
          <w:tcPr>
            <w:tcW w:w="155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355.59</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2,487.29</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571"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340.99</w:t>
            </w:r>
          </w:p>
        </w:tc>
      </w:tr>
      <w:tr>
        <w:trPr>
          <w:trHeight w:val="315"/>
        </w:trPr>
        <w:tc>
          <w:tcPr>
            <w:tcW w:w="997"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221</w:t>
            </w:r>
          </w:p>
        </w:tc>
        <w:tc>
          <w:tcPr>
            <w:tcW w:w="3647"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住房保障支出</w:t>
            </w:r>
          </w:p>
        </w:tc>
        <w:tc>
          <w:tcPr>
            <w:tcW w:w="184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136.47</w:t>
            </w:r>
          </w:p>
        </w:tc>
        <w:tc>
          <w:tcPr>
            <w:tcW w:w="155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135.00</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1.47</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571"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997"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22102</w:t>
            </w:r>
          </w:p>
        </w:tc>
        <w:tc>
          <w:tcPr>
            <w:tcW w:w="3647"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住房改革支出</w:t>
            </w:r>
          </w:p>
        </w:tc>
        <w:tc>
          <w:tcPr>
            <w:tcW w:w="184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136.47</w:t>
            </w:r>
          </w:p>
        </w:tc>
        <w:tc>
          <w:tcPr>
            <w:tcW w:w="155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135.00</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1.47</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571"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997"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2210201</w:t>
            </w:r>
          </w:p>
        </w:tc>
        <w:tc>
          <w:tcPr>
            <w:tcW w:w="3647"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 xml:space="preserve">  住房公积金</w:t>
            </w:r>
          </w:p>
        </w:tc>
        <w:tc>
          <w:tcPr>
            <w:tcW w:w="184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136.47</w:t>
            </w:r>
          </w:p>
        </w:tc>
        <w:tc>
          <w:tcPr>
            <w:tcW w:w="155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135.00</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1.47</w:t>
            </w:r>
          </w:p>
        </w:tc>
        <w:tc>
          <w:tcPr>
            <w:tcW w:w="113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27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571"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14437" w:type="dxa"/>
            <w:gridSpan w:val="11"/>
            <w:tcBorders>
              <w:top w:val="nil"/>
              <w:left w:val="nil"/>
              <w:bottom w:val="nil"/>
              <w:right w:val="nil"/>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注：本表反映部门本年度取得的各项收入情况。</w:t>
            </w:r>
          </w:p>
        </w:tc>
      </w:tr>
    </w:tbl>
    <w:p/>
    <w:p>
      <w:r>
        <w:br w:type="page"/>
      </w:r>
    </w:p>
    <w:tbl>
      <w:tblPr>
        <w:jc w:val="left"/>
        <w:tblW w:w="5092"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328"/>
        <w:gridCol w:w="332"/>
        <w:gridCol w:w="338"/>
        <w:gridCol w:w="3790"/>
        <w:gridCol w:w="2136"/>
        <w:gridCol w:w="2284"/>
        <w:gridCol w:w="1513"/>
        <w:gridCol w:w="1003"/>
        <w:gridCol w:w="1019"/>
        <w:gridCol w:w="1694"/>
      </w:tblGrid>
      <w:tr>
        <w:trPr>
          <w:trHeight w:val="345"/>
        </w:trPr>
        <w:tc>
          <w:tcPr>
            <w:tcW w:w="14437" w:type="dxa"/>
            <w:gridSpan w:val="10"/>
            <w:tcBorders>
              <w:top w:val="nil"/>
              <w:left w:val="nil"/>
              <w:bottom w:val="nil"/>
              <w:right w:val="nil"/>
            </w:tcBorders>
            <w:shd w:val="clear" w:color="auto" w:fill="auto"/>
            <w:noWrap/>
            <w:vAlign w:val="bottom"/>
          </w:tcPr>
          <w:p>
            <w:pPr>
              <w:widowControl/>
              <w:jc w:val="center"/>
              <w:rPr>
                <w:b/>
                <w:sz w:val="44"/>
                <w:szCs w:val="44"/>
              </w:rPr>
            </w:pPr>
          </w:p>
          <w:p>
            <w:pPr>
              <w:widowControl/>
              <w:jc w:val="center"/>
              <w:rPr>
                <w:rFonts w:ascii="宋体" w:cs="Arial"/>
                <w:color w:val="000000"/>
                <w:kern w:val="0"/>
                <w:sz w:val="30"/>
                <w:szCs w:val="30"/>
              </w:rPr>
            </w:pPr>
            <w:r>
              <w:rPr>
                <w:rFonts w:hint="eastAsia"/>
                <w:b/>
                <w:sz w:val="44"/>
                <w:szCs w:val="44"/>
              </w:rPr>
              <w:t>支出决算表</w:t>
            </w:r>
          </w:p>
        </w:tc>
      </w:tr>
      <w:tr>
        <w:trPr>
          <w:trHeight w:val="255"/>
        </w:trPr>
        <w:tc>
          <w:tcPr>
            <w:tcW w:w="328"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32"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38"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79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13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28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51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00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019"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694"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公开03表</w:t>
            </w:r>
          </w:p>
        </w:tc>
      </w:tr>
      <w:tr>
        <w:trPr>
          <w:trHeight w:val="255"/>
        </w:trPr>
        <w:tc>
          <w:tcPr>
            <w:tcW w:w="4788" w:type="dxa"/>
            <w:gridSpan w:val="4"/>
            <w:tcBorders>
              <w:top w:val="nil"/>
              <w:left w:val="nil"/>
              <w:bottom w:val="single" w:sz="6" w:space="0" w:color="000000"/>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部门：重庆海关技术中心</w:t>
            </w:r>
          </w:p>
        </w:tc>
        <w:tc>
          <w:tcPr>
            <w:tcW w:w="213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28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51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00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019"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694"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15"/>
        </w:trPr>
        <w:tc>
          <w:tcPr>
            <w:tcW w:w="4788" w:type="dxa"/>
            <w:gridSpan w:val="4"/>
            <w:tcBorders>
              <w:top w:val="single" w:sz="6" w:space="0" w:color="000000"/>
              <w:left w:val="single" w:sz="6" w:space="0" w:color="000000"/>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项目</w:t>
            </w:r>
          </w:p>
        </w:tc>
        <w:tc>
          <w:tcPr>
            <w:tcW w:w="2136"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本年支出合计</w:t>
            </w:r>
          </w:p>
        </w:tc>
        <w:tc>
          <w:tcPr>
            <w:tcW w:w="2284"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基本支出</w:t>
            </w:r>
          </w:p>
        </w:tc>
        <w:tc>
          <w:tcPr>
            <w:tcW w:w="1513"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项目支出</w:t>
            </w:r>
          </w:p>
        </w:tc>
        <w:tc>
          <w:tcPr>
            <w:tcW w:w="1003"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上缴上级支出</w:t>
            </w:r>
          </w:p>
        </w:tc>
        <w:tc>
          <w:tcPr>
            <w:tcW w:w="1019"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经营支出</w:t>
            </w:r>
          </w:p>
        </w:tc>
        <w:tc>
          <w:tcPr>
            <w:tcW w:w="1694"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对附属单位补助支出</w:t>
            </w:r>
          </w:p>
        </w:tc>
      </w:tr>
      <w:tr>
        <w:trPr>
          <w:trHeight w:val="315"/>
        </w:trPr>
        <w:tc>
          <w:tcPr>
            <w:tcW w:w="998" w:type="dxa"/>
            <w:gridSpan w:val="3"/>
            <w:vMerge w:val="restart"/>
            <w:tcBorders>
              <w:top w:val="nil"/>
              <w:left w:val="single" w:sz="6" w:space="0" w:color="000000"/>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功能分类科目编码</w:t>
            </w:r>
          </w:p>
        </w:tc>
        <w:tc>
          <w:tcPr>
            <w:tcW w:w="3790" w:type="dxa"/>
            <w:vMerge w:val="restart"/>
            <w:tcBorders>
              <w:top w:val="nil"/>
              <w:left w:val="nil"/>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科目名称</w:t>
            </w:r>
          </w:p>
        </w:tc>
        <w:tc>
          <w:tcPr>
            <w:tcW w:w="2136" w:type="dxa"/>
            <w:vMerge/>
            <w:tcBorders>
              <w:top w:val="single" w:sz="6" w:space="0" w:color="000000"/>
              <w:left w:val="nil"/>
              <w:bottom w:val="single" w:sz="6" w:space="0" w:color="000000"/>
              <w:right w:val="single" w:sz="6" w:space="0" w:color="000000"/>
            </w:tcBorders>
            <w:vAlign w:val="center"/>
          </w:tcPr>
          <w:p/>
        </w:tc>
        <w:tc>
          <w:tcPr>
            <w:tcW w:w="2284" w:type="dxa"/>
            <w:vMerge/>
            <w:tcBorders>
              <w:top w:val="single" w:sz="6" w:space="0" w:color="000000"/>
              <w:left w:val="nil"/>
              <w:bottom w:val="single" w:sz="6" w:space="0" w:color="000000"/>
              <w:right w:val="single" w:sz="6" w:space="0" w:color="000000"/>
            </w:tcBorders>
            <w:vAlign w:val="center"/>
          </w:tcPr>
          <w:p/>
        </w:tc>
        <w:tc>
          <w:tcPr>
            <w:tcW w:w="1513" w:type="dxa"/>
            <w:vMerge/>
            <w:tcBorders>
              <w:top w:val="single" w:sz="6" w:space="0" w:color="000000"/>
              <w:left w:val="nil"/>
              <w:bottom w:val="single" w:sz="6" w:space="0" w:color="000000"/>
              <w:right w:val="single" w:sz="6" w:space="0" w:color="000000"/>
            </w:tcBorders>
            <w:vAlign w:val="center"/>
          </w:tcPr>
          <w:p/>
        </w:tc>
        <w:tc>
          <w:tcPr>
            <w:tcW w:w="1003" w:type="dxa"/>
            <w:vMerge/>
            <w:tcBorders>
              <w:top w:val="single" w:sz="6" w:space="0" w:color="000000"/>
              <w:left w:val="nil"/>
              <w:bottom w:val="single" w:sz="6" w:space="0" w:color="000000"/>
              <w:right w:val="single" w:sz="6" w:space="0" w:color="000000"/>
            </w:tcBorders>
            <w:vAlign w:val="center"/>
          </w:tcPr>
          <w:p/>
        </w:tc>
        <w:tc>
          <w:tcPr>
            <w:tcW w:w="1019" w:type="dxa"/>
            <w:vMerge/>
            <w:tcBorders>
              <w:top w:val="single" w:sz="6" w:space="0" w:color="000000"/>
              <w:left w:val="nil"/>
              <w:bottom w:val="single" w:sz="6" w:space="0" w:color="000000"/>
              <w:right w:val="single" w:sz="6" w:space="0" w:color="000000"/>
            </w:tcBorders>
            <w:vAlign w:val="center"/>
          </w:tcPr>
          <w:p/>
        </w:tc>
        <w:tc>
          <w:tcPr>
            <w:tcW w:w="1694" w:type="dxa"/>
            <w:vMerge/>
            <w:tcBorders>
              <w:top w:val="single" w:sz="6" w:space="0" w:color="000000"/>
              <w:left w:val="nil"/>
              <w:bottom w:val="single" w:sz="6" w:space="0" w:color="000000"/>
              <w:right w:val="single" w:sz="6" w:space="0" w:color="000000"/>
            </w:tcBorders>
            <w:vAlign w:val="center"/>
          </w:tcPr>
          <w:p/>
        </w:tc>
      </w:tr>
      <w:tr>
        <w:trPr>
          <w:trHeight w:val="315"/>
        </w:trPr>
        <w:tc>
          <w:tcPr>
            <w:tcW w:w="998" w:type="dxa"/>
            <w:gridSpan w:val="3"/>
            <w:vMerge/>
            <w:tcBorders>
              <w:top w:val="nil"/>
              <w:left w:val="single" w:sz="6" w:space="0" w:color="000000"/>
              <w:bottom w:val="single" w:sz="6" w:space="0" w:color="000000"/>
              <w:right w:val="single" w:sz="6" w:space="0" w:color="000000"/>
            </w:tcBorders>
            <w:vAlign w:val="center"/>
          </w:tcPr>
          <w:p/>
        </w:tc>
        <w:tc>
          <w:tcPr>
            <w:tcW w:w="3790" w:type="dxa"/>
            <w:vMerge/>
            <w:tcBorders>
              <w:top w:val="nil"/>
              <w:left w:val="nil"/>
              <w:bottom w:val="single" w:sz="6" w:space="0" w:color="000000"/>
              <w:right w:val="single" w:sz="6" w:space="0" w:color="000000"/>
            </w:tcBorders>
            <w:vAlign w:val="center"/>
          </w:tcPr>
          <w:p/>
        </w:tc>
        <w:tc>
          <w:tcPr>
            <w:tcW w:w="2136" w:type="dxa"/>
            <w:vMerge/>
            <w:tcBorders>
              <w:top w:val="single" w:sz="6" w:space="0" w:color="000000"/>
              <w:left w:val="nil"/>
              <w:bottom w:val="single" w:sz="6" w:space="0" w:color="000000"/>
              <w:right w:val="single" w:sz="6" w:space="0" w:color="000000"/>
            </w:tcBorders>
            <w:vAlign w:val="center"/>
          </w:tcPr>
          <w:p/>
        </w:tc>
        <w:tc>
          <w:tcPr>
            <w:tcW w:w="2284" w:type="dxa"/>
            <w:vMerge/>
            <w:tcBorders>
              <w:top w:val="single" w:sz="6" w:space="0" w:color="000000"/>
              <w:left w:val="nil"/>
              <w:bottom w:val="single" w:sz="6" w:space="0" w:color="000000"/>
              <w:right w:val="single" w:sz="6" w:space="0" w:color="000000"/>
            </w:tcBorders>
            <w:vAlign w:val="center"/>
          </w:tcPr>
          <w:p/>
        </w:tc>
        <w:tc>
          <w:tcPr>
            <w:tcW w:w="1513" w:type="dxa"/>
            <w:vMerge/>
            <w:tcBorders>
              <w:top w:val="single" w:sz="6" w:space="0" w:color="000000"/>
              <w:left w:val="nil"/>
              <w:bottom w:val="single" w:sz="6" w:space="0" w:color="000000"/>
              <w:right w:val="single" w:sz="6" w:space="0" w:color="000000"/>
            </w:tcBorders>
            <w:vAlign w:val="center"/>
          </w:tcPr>
          <w:p/>
        </w:tc>
        <w:tc>
          <w:tcPr>
            <w:tcW w:w="1003" w:type="dxa"/>
            <w:vMerge/>
            <w:tcBorders>
              <w:top w:val="single" w:sz="6" w:space="0" w:color="000000"/>
              <w:left w:val="nil"/>
              <w:bottom w:val="single" w:sz="6" w:space="0" w:color="000000"/>
              <w:right w:val="single" w:sz="6" w:space="0" w:color="000000"/>
            </w:tcBorders>
            <w:vAlign w:val="center"/>
          </w:tcPr>
          <w:p/>
        </w:tc>
        <w:tc>
          <w:tcPr>
            <w:tcW w:w="1019" w:type="dxa"/>
            <w:vMerge/>
            <w:tcBorders>
              <w:top w:val="single" w:sz="6" w:space="0" w:color="000000"/>
              <w:left w:val="nil"/>
              <w:bottom w:val="single" w:sz="6" w:space="0" w:color="000000"/>
              <w:right w:val="single" w:sz="6" w:space="0" w:color="000000"/>
            </w:tcBorders>
            <w:vAlign w:val="center"/>
          </w:tcPr>
          <w:p/>
        </w:tc>
        <w:tc>
          <w:tcPr>
            <w:tcW w:w="1694" w:type="dxa"/>
            <w:vMerge/>
            <w:tcBorders>
              <w:top w:val="single" w:sz="6" w:space="0" w:color="000000"/>
              <w:left w:val="nil"/>
              <w:bottom w:val="single" w:sz="6" w:space="0" w:color="000000"/>
              <w:right w:val="single" w:sz="6" w:space="0" w:color="000000"/>
            </w:tcBorders>
            <w:vAlign w:val="center"/>
          </w:tcPr>
          <w:p/>
        </w:tc>
      </w:tr>
      <w:tr>
        <w:trPr>
          <w:trHeight w:val="315"/>
        </w:trPr>
        <w:tc>
          <w:tcPr>
            <w:tcW w:w="998" w:type="dxa"/>
            <w:gridSpan w:val="3"/>
            <w:vMerge/>
            <w:tcBorders>
              <w:top w:val="nil"/>
              <w:left w:val="single" w:sz="6" w:space="0" w:color="000000"/>
              <w:bottom w:val="single" w:sz="6" w:space="0" w:color="000000"/>
              <w:right w:val="single" w:sz="6" w:space="0" w:color="000000"/>
            </w:tcBorders>
            <w:vAlign w:val="center"/>
          </w:tcPr>
          <w:p/>
        </w:tc>
        <w:tc>
          <w:tcPr>
            <w:tcW w:w="3790" w:type="dxa"/>
            <w:vMerge/>
            <w:tcBorders>
              <w:top w:val="nil"/>
              <w:left w:val="nil"/>
              <w:bottom w:val="single" w:sz="6" w:space="0" w:color="000000"/>
              <w:right w:val="single" w:sz="6" w:space="0" w:color="000000"/>
            </w:tcBorders>
            <w:vAlign w:val="center"/>
          </w:tcPr>
          <w:p/>
        </w:tc>
        <w:tc>
          <w:tcPr>
            <w:tcW w:w="2136" w:type="dxa"/>
            <w:vMerge/>
            <w:tcBorders>
              <w:top w:val="single" w:sz="6" w:space="0" w:color="000000"/>
              <w:left w:val="nil"/>
              <w:bottom w:val="single" w:sz="6" w:space="0" w:color="000000"/>
              <w:right w:val="single" w:sz="6" w:space="0" w:color="000000"/>
            </w:tcBorders>
            <w:vAlign w:val="center"/>
          </w:tcPr>
          <w:p/>
        </w:tc>
        <w:tc>
          <w:tcPr>
            <w:tcW w:w="2284" w:type="dxa"/>
            <w:vMerge/>
            <w:tcBorders>
              <w:top w:val="single" w:sz="6" w:space="0" w:color="000000"/>
              <w:left w:val="nil"/>
              <w:bottom w:val="single" w:sz="6" w:space="0" w:color="000000"/>
              <w:right w:val="single" w:sz="6" w:space="0" w:color="000000"/>
            </w:tcBorders>
            <w:vAlign w:val="center"/>
          </w:tcPr>
          <w:p/>
        </w:tc>
        <w:tc>
          <w:tcPr>
            <w:tcW w:w="1513" w:type="dxa"/>
            <w:vMerge/>
            <w:tcBorders>
              <w:top w:val="single" w:sz="6" w:space="0" w:color="000000"/>
              <w:left w:val="nil"/>
              <w:bottom w:val="single" w:sz="6" w:space="0" w:color="000000"/>
              <w:right w:val="single" w:sz="6" w:space="0" w:color="000000"/>
            </w:tcBorders>
            <w:vAlign w:val="center"/>
          </w:tcPr>
          <w:p/>
        </w:tc>
        <w:tc>
          <w:tcPr>
            <w:tcW w:w="1003" w:type="dxa"/>
            <w:vMerge/>
            <w:tcBorders>
              <w:top w:val="single" w:sz="6" w:space="0" w:color="000000"/>
              <w:left w:val="nil"/>
              <w:bottom w:val="single" w:sz="6" w:space="0" w:color="000000"/>
              <w:right w:val="single" w:sz="6" w:space="0" w:color="000000"/>
            </w:tcBorders>
            <w:vAlign w:val="center"/>
          </w:tcPr>
          <w:p/>
        </w:tc>
        <w:tc>
          <w:tcPr>
            <w:tcW w:w="1019" w:type="dxa"/>
            <w:vMerge/>
            <w:tcBorders>
              <w:top w:val="single" w:sz="6" w:space="0" w:color="000000"/>
              <w:left w:val="nil"/>
              <w:bottom w:val="single" w:sz="6" w:space="0" w:color="000000"/>
              <w:right w:val="single" w:sz="6" w:space="0" w:color="000000"/>
            </w:tcBorders>
            <w:vAlign w:val="center"/>
          </w:tcPr>
          <w:p/>
        </w:tc>
        <w:tc>
          <w:tcPr>
            <w:tcW w:w="1694" w:type="dxa"/>
            <w:vMerge/>
            <w:tcBorders>
              <w:top w:val="single" w:sz="6" w:space="0" w:color="000000"/>
              <w:left w:val="nil"/>
              <w:bottom w:val="single" w:sz="6" w:space="0" w:color="000000"/>
              <w:right w:val="single" w:sz="6" w:space="0" w:color="000000"/>
            </w:tcBorders>
            <w:vAlign w:val="center"/>
          </w:tcPr>
          <w:p/>
        </w:tc>
      </w:tr>
      <w:tr>
        <w:trPr>
          <w:trHeight w:val="315"/>
        </w:trPr>
        <w:tc>
          <w:tcPr>
            <w:tcW w:w="4788" w:type="dxa"/>
            <w:gridSpan w:val="4"/>
            <w:tcBorders>
              <w:top w:val="nil"/>
              <w:left w:val="single" w:sz="6" w:space="0" w:color="000000"/>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栏次</w:t>
            </w:r>
          </w:p>
        </w:tc>
        <w:tc>
          <w:tcPr>
            <w:tcW w:w="2136" w:type="dxa"/>
            <w:tcBorders>
              <w:top w:val="nil"/>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1</w:t>
            </w:r>
          </w:p>
        </w:tc>
        <w:tc>
          <w:tcPr>
            <w:tcW w:w="2284" w:type="dxa"/>
            <w:tcBorders>
              <w:top w:val="nil"/>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2</w:t>
            </w:r>
          </w:p>
        </w:tc>
        <w:tc>
          <w:tcPr>
            <w:tcW w:w="1513" w:type="dxa"/>
            <w:tcBorders>
              <w:top w:val="nil"/>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3</w:t>
            </w:r>
          </w:p>
        </w:tc>
        <w:tc>
          <w:tcPr>
            <w:tcW w:w="1003" w:type="dxa"/>
            <w:tcBorders>
              <w:top w:val="nil"/>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4</w:t>
            </w:r>
          </w:p>
        </w:tc>
        <w:tc>
          <w:tcPr>
            <w:tcW w:w="1019" w:type="dxa"/>
            <w:tcBorders>
              <w:top w:val="nil"/>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5</w:t>
            </w:r>
          </w:p>
        </w:tc>
        <w:tc>
          <w:tcPr>
            <w:tcW w:w="1694" w:type="dxa"/>
            <w:tcBorders>
              <w:top w:val="nil"/>
              <w:left w:val="nil"/>
              <w:bottom w:val="single" w:sz="6" w:space="0" w:color="000000"/>
              <w:right w:val="single" w:sz="6" w:space="0" w:color="000000"/>
            </w:tcBorders>
            <w:shd w:val="clear" w:color="auto" w:fill="auto"/>
            <w:vAlign w:val="center"/>
          </w:tcPr>
          <w:p>
            <w:pPr>
              <w:widowControl/>
              <w:jc w:val="center"/>
              <w:rPr>
                <w:rFonts w:ascii="宋体" w:cs="Arial"/>
                <w:color w:val="000000"/>
                <w:kern w:val="0"/>
                <w:sz w:val="22"/>
              </w:rPr>
            </w:pPr>
            <w:r>
              <w:rPr>
                <w:rFonts w:ascii="宋体" w:cs="Arial" w:hint="eastAsia"/>
                <w:color w:val="000000"/>
                <w:kern w:val="0"/>
                <w:sz w:val="22"/>
              </w:rPr>
              <w:t>6</w:t>
            </w:r>
          </w:p>
        </w:tc>
      </w:tr>
      <w:tr>
        <w:trPr>
          <w:trHeight w:val="315"/>
        </w:trPr>
        <w:tc>
          <w:tcPr>
            <w:tcW w:w="4788" w:type="dxa"/>
            <w:gridSpan w:val="4"/>
            <w:tcBorders>
              <w:top w:val="nil"/>
              <w:left w:val="single" w:sz="6" w:space="0" w:color="000000"/>
              <w:bottom w:val="single" w:sz="6" w:space="0" w:color="000000"/>
              <w:right w:val="single" w:sz="6" w:space="0" w:color="000000"/>
            </w:tcBorders>
            <w:shd w:val="clear" w:color="auto" w:fill="auto"/>
            <w:noWrap/>
            <w:vAlign w:val="center"/>
          </w:tcPr>
          <w:p>
            <w:pPr>
              <w:widowControl/>
              <w:jc w:val="center"/>
              <w:rPr>
                <w:rFonts w:ascii="宋体" w:cs="Arial"/>
                <w:color w:val="000000"/>
                <w:kern w:val="0"/>
                <w:sz w:val="22"/>
              </w:rPr>
            </w:pPr>
            <w:r>
              <w:rPr>
                <w:rFonts w:ascii="宋体" w:cs="Arial" w:hint="eastAsia"/>
                <w:color w:val="000000"/>
                <w:kern w:val="0"/>
                <w:sz w:val="22"/>
              </w:rPr>
              <w:t>合计</w:t>
            </w:r>
          </w:p>
        </w:tc>
        <w:tc>
          <w:tcPr>
            <w:tcW w:w="2136" w:type="dxa"/>
            <w:tcBorders>
              <w:top w:val="nil"/>
              <w:left w:val="nil"/>
              <w:bottom w:val="single" w:sz="6" w:space="0" w:color="000000"/>
              <w:right w:val="single" w:sz="6" w:space="0" w:color="000000"/>
            </w:tcBorders>
            <w:shd w:val="clear" w:color="auto" w:fill="auto"/>
            <w:noWrap/>
            <w:vAlign w:val="center"/>
          </w:tcPr>
          <w:p>
            <w:pPr>
              <w:jc w:val="center"/>
              <w:rPr>
                <w:rFonts w:ascii="宋体" w:cs="Arial"/>
                <w:bCs/>
                <w:color w:val="000000"/>
                <w:sz w:val="22"/>
              </w:rPr>
            </w:pPr>
            <w:r>
              <w:rPr>
                <w:rFonts w:ascii="宋体" w:cs="Arial" w:hint="eastAsia"/>
                <w:bCs/>
                <w:color w:val="000000"/>
                <w:sz w:val="22"/>
              </w:rPr>
              <w:t>4,681.04</w:t>
            </w:r>
          </w:p>
        </w:tc>
        <w:tc>
          <w:tcPr>
            <w:tcW w:w="2284" w:type="dxa"/>
            <w:tcBorders>
              <w:top w:val="nil"/>
              <w:left w:val="nil"/>
              <w:bottom w:val="single" w:sz="6" w:space="0" w:color="000000"/>
              <w:right w:val="single" w:sz="6" w:space="0" w:color="000000"/>
            </w:tcBorders>
            <w:shd w:val="clear" w:color="auto" w:fill="auto"/>
            <w:noWrap/>
            <w:vAlign w:val="center"/>
          </w:tcPr>
          <w:p>
            <w:pPr>
              <w:jc w:val="center"/>
              <w:rPr>
                <w:rFonts w:ascii="宋体" w:cs="Arial"/>
                <w:bCs/>
                <w:color w:val="000000"/>
                <w:sz w:val="22"/>
              </w:rPr>
            </w:pPr>
            <w:r>
              <w:rPr>
                <w:rFonts w:ascii="宋体" w:cs="Arial" w:hint="eastAsia"/>
                <w:bCs/>
                <w:color w:val="000000"/>
                <w:sz w:val="22"/>
              </w:rPr>
              <w:t>4,036.25</w:t>
            </w:r>
          </w:p>
        </w:tc>
        <w:tc>
          <w:tcPr>
            <w:tcW w:w="1513" w:type="dxa"/>
            <w:tcBorders>
              <w:top w:val="nil"/>
              <w:left w:val="nil"/>
              <w:bottom w:val="single" w:sz="6" w:space="0" w:color="000000"/>
              <w:right w:val="single" w:sz="6" w:space="0" w:color="000000"/>
            </w:tcBorders>
            <w:shd w:val="clear" w:color="auto" w:fill="auto"/>
            <w:noWrap/>
            <w:vAlign w:val="center"/>
          </w:tcPr>
          <w:p>
            <w:pPr>
              <w:jc w:val="center"/>
              <w:rPr>
                <w:rFonts w:ascii="宋体" w:cs="Arial"/>
                <w:bCs/>
                <w:color w:val="000000"/>
                <w:sz w:val="22"/>
              </w:rPr>
            </w:pPr>
            <w:r>
              <w:rPr>
                <w:rFonts w:ascii="宋体" w:cs="Arial" w:hint="eastAsia"/>
                <w:bCs/>
                <w:color w:val="000000"/>
                <w:sz w:val="22"/>
              </w:rPr>
              <w:t>644.79</w:t>
            </w:r>
          </w:p>
        </w:tc>
        <w:tc>
          <w:tcPr>
            <w:tcW w:w="1003" w:type="dxa"/>
            <w:tcBorders>
              <w:top w:val="nil"/>
              <w:left w:val="nil"/>
              <w:bottom w:val="single" w:sz="6" w:space="0" w:color="000000"/>
              <w:right w:val="single" w:sz="6" w:space="0" w:color="000000"/>
            </w:tcBorders>
            <w:shd w:val="clear" w:color="auto" w:fill="auto"/>
            <w:noWrap/>
            <w:vAlign w:val="center"/>
          </w:tcPr>
          <w:p>
            <w:pPr>
              <w:jc w:val="center"/>
              <w:rPr>
                <w:rFonts w:ascii="宋体" w:cs="Arial"/>
                <w:bCs/>
                <w:color w:val="000000"/>
                <w:sz w:val="22"/>
              </w:rPr>
            </w:pPr>
            <w:r>
              <w:rPr>
                <w:rFonts w:ascii="宋体" w:cs="Arial" w:hint="eastAsia"/>
                <w:bCs/>
                <w:color w:val="000000"/>
                <w:sz w:val="22"/>
              </w:rPr>
              <w:t>0.00</w:t>
            </w:r>
          </w:p>
        </w:tc>
        <w:tc>
          <w:tcPr>
            <w:tcW w:w="1019" w:type="dxa"/>
            <w:tcBorders>
              <w:top w:val="nil"/>
              <w:left w:val="nil"/>
              <w:bottom w:val="single" w:sz="6" w:space="0" w:color="000000"/>
              <w:right w:val="single" w:sz="6" w:space="0" w:color="000000"/>
            </w:tcBorders>
            <w:shd w:val="clear" w:color="auto" w:fill="auto"/>
            <w:noWrap/>
            <w:vAlign w:val="center"/>
          </w:tcPr>
          <w:p>
            <w:pPr>
              <w:jc w:val="center"/>
              <w:rPr>
                <w:rFonts w:ascii="宋体" w:cs="Arial"/>
                <w:bCs/>
                <w:color w:val="000000"/>
                <w:sz w:val="22"/>
              </w:rPr>
            </w:pPr>
            <w:r>
              <w:rPr>
                <w:rFonts w:ascii="宋体" w:cs="Arial" w:hint="eastAsia"/>
                <w:bCs/>
                <w:color w:val="000000"/>
                <w:sz w:val="22"/>
              </w:rPr>
              <w:t>0.00</w:t>
            </w:r>
          </w:p>
        </w:tc>
        <w:tc>
          <w:tcPr>
            <w:tcW w:w="1694" w:type="dxa"/>
            <w:tcBorders>
              <w:top w:val="nil"/>
              <w:left w:val="nil"/>
              <w:bottom w:val="single" w:sz="6" w:space="0" w:color="000000"/>
              <w:right w:val="single" w:sz="6" w:space="0" w:color="000000"/>
            </w:tcBorders>
            <w:shd w:val="clear" w:color="auto" w:fill="auto"/>
            <w:noWrap/>
            <w:vAlign w:val="center"/>
          </w:tcPr>
          <w:p>
            <w:pPr>
              <w:jc w:val="center"/>
              <w:rPr>
                <w:rFonts w:ascii="宋体" w:cs="Arial"/>
                <w:bCs/>
                <w:color w:val="000000"/>
                <w:sz w:val="22"/>
              </w:rPr>
            </w:pPr>
            <w:r>
              <w:rPr>
                <w:rFonts w:ascii="宋体" w:cs="Arial" w:hint="eastAsia"/>
                <w:bCs/>
                <w:color w:val="000000"/>
                <w:sz w:val="22"/>
              </w:rPr>
              <w:t>0.00</w:t>
            </w:r>
          </w:p>
        </w:tc>
      </w:tr>
      <w:tr>
        <w:trPr>
          <w:trHeight w:val="315"/>
        </w:trPr>
        <w:tc>
          <w:tcPr>
            <w:tcW w:w="998"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201</w:t>
            </w:r>
          </w:p>
        </w:tc>
        <w:tc>
          <w:tcPr>
            <w:tcW w:w="3790"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一般公共服务支出</w:t>
            </w:r>
          </w:p>
        </w:tc>
        <w:tc>
          <w:tcPr>
            <w:tcW w:w="213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4,544.56</w:t>
            </w:r>
          </w:p>
        </w:tc>
        <w:tc>
          <w:tcPr>
            <w:tcW w:w="228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3,899.77</w:t>
            </w:r>
          </w:p>
        </w:tc>
        <w:tc>
          <w:tcPr>
            <w:tcW w:w="151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644.79</w:t>
            </w:r>
          </w:p>
        </w:tc>
        <w:tc>
          <w:tcPr>
            <w:tcW w:w="100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01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69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998"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20109</w:t>
            </w:r>
          </w:p>
        </w:tc>
        <w:tc>
          <w:tcPr>
            <w:tcW w:w="3790"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海关事务</w:t>
            </w:r>
          </w:p>
        </w:tc>
        <w:tc>
          <w:tcPr>
            <w:tcW w:w="213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4,544.56</w:t>
            </w:r>
          </w:p>
        </w:tc>
        <w:tc>
          <w:tcPr>
            <w:tcW w:w="228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3,899.77</w:t>
            </w:r>
          </w:p>
        </w:tc>
        <w:tc>
          <w:tcPr>
            <w:tcW w:w="151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644.79</w:t>
            </w:r>
          </w:p>
        </w:tc>
        <w:tc>
          <w:tcPr>
            <w:tcW w:w="100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01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69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998"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2010902</w:t>
            </w:r>
          </w:p>
        </w:tc>
        <w:tc>
          <w:tcPr>
            <w:tcW w:w="3790"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 xml:space="preserve">  一般行政管理事务</w:t>
            </w:r>
          </w:p>
        </w:tc>
        <w:tc>
          <w:tcPr>
            <w:tcW w:w="213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6.00</w:t>
            </w:r>
          </w:p>
        </w:tc>
        <w:tc>
          <w:tcPr>
            <w:tcW w:w="228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51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6.00</w:t>
            </w:r>
          </w:p>
        </w:tc>
        <w:tc>
          <w:tcPr>
            <w:tcW w:w="100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01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69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998"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2010909</w:t>
            </w:r>
          </w:p>
        </w:tc>
        <w:tc>
          <w:tcPr>
            <w:tcW w:w="3790"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 xml:space="preserve">  海关关务</w:t>
            </w:r>
          </w:p>
        </w:tc>
        <w:tc>
          <w:tcPr>
            <w:tcW w:w="213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173.00</w:t>
            </w:r>
          </w:p>
        </w:tc>
        <w:tc>
          <w:tcPr>
            <w:tcW w:w="228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51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173.00</w:t>
            </w:r>
          </w:p>
        </w:tc>
        <w:tc>
          <w:tcPr>
            <w:tcW w:w="100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01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69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998"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2010912</w:t>
            </w:r>
          </w:p>
        </w:tc>
        <w:tc>
          <w:tcPr>
            <w:tcW w:w="3790"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 xml:space="preserve">  检验检疫</w:t>
            </w:r>
          </w:p>
        </w:tc>
        <w:tc>
          <w:tcPr>
            <w:tcW w:w="213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465.79</w:t>
            </w:r>
          </w:p>
        </w:tc>
        <w:tc>
          <w:tcPr>
            <w:tcW w:w="228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51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465.79</w:t>
            </w:r>
          </w:p>
        </w:tc>
        <w:tc>
          <w:tcPr>
            <w:tcW w:w="100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01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69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998"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2010950</w:t>
            </w:r>
          </w:p>
        </w:tc>
        <w:tc>
          <w:tcPr>
            <w:tcW w:w="3790"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 xml:space="preserve">  事业运行</w:t>
            </w:r>
          </w:p>
        </w:tc>
        <w:tc>
          <w:tcPr>
            <w:tcW w:w="213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3,899.77</w:t>
            </w:r>
          </w:p>
        </w:tc>
        <w:tc>
          <w:tcPr>
            <w:tcW w:w="228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3,899.77</w:t>
            </w:r>
          </w:p>
        </w:tc>
        <w:tc>
          <w:tcPr>
            <w:tcW w:w="151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00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01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69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998"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221</w:t>
            </w:r>
          </w:p>
        </w:tc>
        <w:tc>
          <w:tcPr>
            <w:tcW w:w="3790"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住房保障支出</w:t>
            </w:r>
          </w:p>
        </w:tc>
        <w:tc>
          <w:tcPr>
            <w:tcW w:w="213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136.47</w:t>
            </w:r>
          </w:p>
        </w:tc>
        <w:tc>
          <w:tcPr>
            <w:tcW w:w="228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136.47</w:t>
            </w:r>
          </w:p>
        </w:tc>
        <w:tc>
          <w:tcPr>
            <w:tcW w:w="151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00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01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69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998"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22102</w:t>
            </w:r>
          </w:p>
        </w:tc>
        <w:tc>
          <w:tcPr>
            <w:tcW w:w="3790"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住房改革支出</w:t>
            </w:r>
          </w:p>
        </w:tc>
        <w:tc>
          <w:tcPr>
            <w:tcW w:w="213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136.47</w:t>
            </w:r>
          </w:p>
        </w:tc>
        <w:tc>
          <w:tcPr>
            <w:tcW w:w="228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136.47</w:t>
            </w:r>
          </w:p>
        </w:tc>
        <w:tc>
          <w:tcPr>
            <w:tcW w:w="151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00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01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69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998" w:type="dxa"/>
            <w:gridSpan w:val="3"/>
            <w:tcBorders>
              <w:top w:val="nil"/>
              <w:left w:val="single" w:sz="6" w:space="0" w:color="000000"/>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2210201</w:t>
            </w:r>
          </w:p>
        </w:tc>
        <w:tc>
          <w:tcPr>
            <w:tcW w:w="3790" w:type="dxa"/>
            <w:tcBorders>
              <w:top w:val="nil"/>
              <w:left w:val="nil"/>
              <w:bottom w:val="single" w:sz="6" w:space="0" w:color="000000"/>
              <w:right w:val="single" w:sz="6" w:space="0" w:color="000000"/>
            </w:tcBorders>
            <w:shd w:val="clear" w:color="auto" w:fill="auto"/>
            <w:noWrap/>
            <w:vAlign w:val="center"/>
          </w:tcPr>
          <w:p>
            <w:pPr>
              <w:rPr>
                <w:rFonts w:ascii="宋体" w:cs="Arial"/>
                <w:color w:val="000000"/>
                <w:sz w:val="22"/>
              </w:rPr>
            </w:pPr>
            <w:r>
              <w:rPr>
                <w:rFonts w:ascii="宋体" w:cs="Arial" w:hint="eastAsia"/>
                <w:color w:val="000000"/>
                <w:sz w:val="22"/>
              </w:rPr>
              <w:t xml:space="preserve">  住房公积金</w:t>
            </w:r>
          </w:p>
        </w:tc>
        <w:tc>
          <w:tcPr>
            <w:tcW w:w="2136"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136.47</w:t>
            </w:r>
          </w:p>
        </w:tc>
        <w:tc>
          <w:tcPr>
            <w:tcW w:w="228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136.47</w:t>
            </w:r>
          </w:p>
        </w:tc>
        <w:tc>
          <w:tcPr>
            <w:tcW w:w="151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003"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019"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c>
          <w:tcPr>
            <w:tcW w:w="1694" w:type="dxa"/>
            <w:tcBorders>
              <w:top w:val="nil"/>
              <w:left w:val="nil"/>
              <w:bottom w:val="single" w:sz="6" w:space="0" w:color="000000"/>
              <w:right w:val="single" w:sz="6" w:space="0" w:color="000000"/>
            </w:tcBorders>
            <w:shd w:val="clear" w:color="auto" w:fill="auto"/>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14437" w:type="dxa"/>
            <w:gridSpan w:val="10"/>
            <w:tcBorders>
              <w:top w:val="nil"/>
              <w:left w:val="nil"/>
              <w:bottom w:val="nil"/>
              <w:right w:val="nil"/>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注：本表反映部门本年度各项支出情况。</w:t>
            </w:r>
          </w:p>
        </w:tc>
      </w:tr>
    </w:tbl>
    <w:p/>
    <w:p>
      <w:r>
        <w:br w:type="page"/>
      </w:r>
    </w:p>
    <w:tbl>
      <w:tblPr>
        <w:jc w:val="left"/>
        <w:tblInd w:w="94" w:type="dxa"/>
        <w:tblW w:w="16352"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2458"/>
        <w:gridCol w:w="436"/>
        <w:gridCol w:w="587"/>
        <w:gridCol w:w="793"/>
        <w:gridCol w:w="156"/>
        <w:gridCol w:w="122"/>
        <w:gridCol w:w="2712"/>
        <w:gridCol w:w="436"/>
        <w:gridCol w:w="1559"/>
        <w:gridCol w:w="820"/>
        <w:gridCol w:w="276"/>
        <w:gridCol w:w="459"/>
        <w:gridCol w:w="1221"/>
        <w:gridCol w:w="485"/>
        <w:gridCol w:w="1536"/>
        <w:gridCol w:w="95"/>
        <w:gridCol w:w="1585"/>
        <w:gridCol w:w="616"/>
      </w:tblGrid>
      <w:tr>
        <w:trPr>
          <w:trHeight w:val="390"/>
        </w:trPr>
        <w:tc>
          <w:tcPr>
            <w:tcW w:w="3481" w:type="dxa"/>
            <w:gridSpan w:val="3"/>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r>
              <w:rPr>
                <w:rFonts w:ascii="Arial" w:cs="Arial" w:hAnsi="Arial" w:hint="eastAsia"/>
                <w:color w:val="000000"/>
                <w:kern w:val="0"/>
                <w:sz w:val="20"/>
                <w:szCs w:val="20"/>
              </w:rPr>
              <w:t>部门：重庆海关技术中心</w:t>
            </w:r>
          </w:p>
        </w:tc>
        <w:tc>
          <w:tcPr>
            <w:tcW w:w="79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78" w:type="dxa"/>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527" w:type="dxa"/>
            <w:gridSpan w:val="4"/>
            <w:tcBorders>
              <w:top w:val="nil"/>
              <w:left w:val="nil"/>
              <w:bottom w:val="nil"/>
              <w:right w:val="nil"/>
            </w:tcBorders>
            <w:shd w:val="clear" w:color="auto" w:fill="auto"/>
            <w:noWrap/>
            <w:vAlign w:val="center"/>
          </w:tcPr>
          <w:p>
            <w:pPr>
              <w:widowControl/>
              <w:jc w:val="center"/>
              <w:rPr>
                <w:rFonts w:ascii="宋体" w:cs="Arial"/>
                <w:b/>
                <w:color w:val="000000"/>
                <w:kern w:val="0"/>
                <w:sz w:val="44"/>
                <w:szCs w:val="44"/>
              </w:rPr>
            </w:pPr>
            <w:r>
              <w:rPr>
                <w:rFonts w:ascii="宋体" w:cs="Arial" w:hint="eastAsia"/>
                <w:b/>
                <w:color w:val="000000"/>
                <w:kern w:val="0"/>
                <w:sz w:val="44"/>
                <w:szCs w:val="44"/>
              </w:rPr>
              <w:t>财政拨款收入支出决算总表</w:t>
            </w:r>
          </w:p>
          <w:p>
            <w:pPr>
              <w:widowControl/>
              <w:jc w:val="center"/>
              <w:rPr>
                <w:rFonts w:ascii="宋体" w:cs="Arial"/>
                <w:color w:val="000000"/>
                <w:kern w:val="0"/>
                <w:sz w:val="24"/>
              </w:rPr>
            </w:pPr>
          </w:p>
        </w:tc>
        <w:tc>
          <w:tcPr>
            <w:tcW w:w="27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680" w:type="dxa"/>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021" w:type="dxa"/>
            <w:gridSpan w:val="2"/>
            <w:tcBorders>
              <w:top w:val="nil"/>
              <w:left w:val="nil"/>
              <w:bottom w:val="nil"/>
              <w:right w:val="nil"/>
            </w:tcBorders>
            <w:shd w:val="clear" w:color="auto" w:fill="auto"/>
            <w:noWrap/>
            <w:vAlign w:val="bottom"/>
          </w:tcPr>
          <w:tbl>
            <w:tblPr>
              <w:jc w:val="left"/>
              <w:tblW w:w="180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1800"/>
            </w:tblGrid>
            <w:tr>
              <w:trPr>
                <w:trHeight w:val="255"/>
              </w:trPr>
              <w:tc>
                <w:tcPr>
                  <w:tcW w:w="1800"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公开04表</w:t>
                  </w:r>
                </w:p>
              </w:tc>
            </w:tr>
            <w:tr>
              <w:trPr>
                <w:trHeight w:val="255"/>
              </w:trPr>
              <w:tc>
                <w:tcPr>
                  <w:tcW w:w="1800"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bl>
          <w:p>
            <w:pPr>
              <w:widowControl/>
              <w:jc w:val="left"/>
              <w:rPr>
                <w:rFonts w:ascii="Arial" w:cs="Arial" w:hAnsi="Arial"/>
                <w:color w:val="000000"/>
                <w:kern w:val="0"/>
                <w:sz w:val="20"/>
                <w:szCs w:val="20"/>
              </w:rPr>
            </w:pPr>
          </w:p>
        </w:tc>
        <w:tc>
          <w:tcPr>
            <w:tcW w:w="1680" w:type="dxa"/>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1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r>
      <w:tr>
        <w:trPr>
          <w:trHeight w:val="308"/>
          <w:gridAfter w:val="2"/>
          <w:wAfter w:w="2201" w:type="dxa"/>
        </w:trPr>
        <w:tc>
          <w:tcPr>
            <w:tcW w:w="4430" w:type="dxa"/>
            <w:gridSpan w:val="5"/>
            <w:tcBorders>
              <w:top w:val="single" w:sz="4" w:space="0" w:color="000000"/>
              <w:left w:val="single" w:sz="4" w:space="0" w:color="000000"/>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收     入</w:t>
            </w:r>
          </w:p>
        </w:tc>
        <w:tc>
          <w:tcPr>
            <w:tcW w:w="9721" w:type="dxa"/>
            <w:gridSpan w:val="11"/>
            <w:tcBorders>
              <w:top w:val="single" w:sz="4" w:space="0" w:color="000000"/>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支     出</w:t>
            </w:r>
          </w:p>
        </w:tc>
      </w:tr>
      <w:tr>
        <w:trPr>
          <w:trHeight w:val="312"/>
          <w:gridAfter w:val="2"/>
          <w:wAfter w:w="2201" w:type="dxa"/>
        </w:trPr>
        <w:tc>
          <w:tcPr>
            <w:tcW w:w="2458" w:type="dxa"/>
            <w:vMerge w:val="restart"/>
            <w:tcBorders>
              <w:top w:val="nil"/>
              <w:left w:val="single" w:sz="4" w:space="0" w:color="000000"/>
              <w:bottom w:val="single" w:sz="4" w:space="0" w:color="000000"/>
              <w:right w:val="single" w:sz="4" w:space="0" w:color="000000"/>
            </w:tcBorders>
            <w:shd w:val="clear" w:color="auto" w:fill="FFFFFF"/>
            <w:vAlign w:val="center"/>
          </w:tcPr>
          <w:p>
            <w:pPr>
              <w:widowControl/>
              <w:jc w:val="center"/>
              <w:rPr>
                <w:rFonts w:ascii="宋体" w:cs="Arial"/>
                <w:color w:val="000000"/>
                <w:kern w:val="0"/>
                <w:sz w:val="22"/>
              </w:rPr>
            </w:pPr>
            <w:r>
              <w:rPr>
                <w:rFonts w:ascii="宋体" w:cs="Arial" w:hint="eastAsia"/>
                <w:color w:val="000000"/>
                <w:kern w:val="0"/>
                <w:sz w:val="22"/>
              </w:rPr>
              <w:t>项目</w:t>
            </w:r>
          </w:p>
        </w:tc>
        <w:tc>
          <w:tcPr>
            <w:tcW w:w="436" w:type="dxa"/>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rPr>
            </w:pPr>
            <w:r>
              <w:rPr>
                <w:rFonts w:ascii="宋体" w:cs="Arial" w:hint="eastAsia"/>
                <w:color w:val="000000"/>
                <w:kern w:val="0"/>
                <w:sz w:val="22"/>
              </w:rPr>
              <w:t>行次</w:t>
            </w:r>
          </w:p>
        </w:tc>
        <w:tc>
          <w:tcPr>
            <w:tcW w:w="1536" w:type="dxa"/>
            <w:gridSpan w:val="3"/>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rPr>
            </w:pPr>
            <w:r>
              <w:rPr>
                <w:rFonts w:ascii="宋体" w:cs="Arial" w:hint="eastAsia"/>
                <w:color w:val="000000"/>
                <w:kern w:val="0"/>
                <w:sz w:val="22"/>
              </w:rPr>
              <w:t>金额</w:t>
            </w:r>
          </w:p>
        </w:tc>
        <w:tc>
          <w:tcPr>
            <w:tcW w:w="2834" w:type="dxa"/>
            <w:gridSpan w:val="2"/>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rPr>
            </w:pPr>
            <w:r>
              <w:rPr>
                <w:rFonts w:ascii="宋体" w:cs="Arial" w:hint="eastAsia"/>
                <w:color w:val="000000"/>
                <w:kern w:val="0"/>
                <w:sz w:val="22"/>
              </w:rPr>
              <w:t>项目</w:t>
            </w:r>
          </w:p>
        </w:tc>
        <w:tc>
          <w:tcPr>
            <w:tcW w:w="436" w:type="dxa"/>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rPr>
            </w:pPr>
            <w:r>
              <w:rPr>
                <w:rFonts w:ascii="宋体" w:cs="Arial" w:hint="eastAsia"/>
                <w:color w:val="000000"/>
                <w:kern w:val="0"/>
                <w:sz w:val="22"/>
              </w:rPr>
              <w:t>行次</w:t>
            </w:r>
          </w:p>
        </w:tc>
        <w:tc>
          <w:tcPr>
            <w:tcW w:w="1559" w:type="dxa"/>
            <w:vMerge w:val="restart"/>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合计</w:t>
            </w:r>
          </w:p>
        </w:tc>
        <w:tc>
          <w:tcPr>
            <w:tcW w:w="1555" w:type="dxa"/>
            <w:gridSpan w:val="3"/>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rPr>
            </w:pPr>
            <w:r>
              <w:rPr>
                <w:rFonts w:ascii="宋体" w:cs="Arial" w:hint="eastAsia"/>
                <w:color w:val="000000"/>
                <w:kern w:val="0"/>
                <w:sz w:val="22"/>
              </w:rPr>
              <w:t>一般公共预算财政拨款</w:t>
            </w:r>
          </w:p>
        </w:tc>
        <w:tc>
          <w:tcPr>
            <w:tcW w:w="1706" w:type="dxa"/>
            <w:gridSpan w:val="2"/>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rPr>
            </w:pPr>
            <w:r>
              <w:rPr>
                <w:rFonts w:ascii="宋体" w:cs="Arial" w:hint="eastAsia"/>
                <w:color w:val="000000"/>
                <w:kern w:val="0"/>
                <w:sz w:val="22"/>
              </w:rPr>
              <w:t>政府性基金预算财政拨款</w:t>
            </w:r>
          </w:p>
        </w:tc>
        <w:tc>
          <w:tcPr>
            <w:tcW w:w="1631" w:type="dxa"/>
            <w:gridSpan w:val="2"/>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rPr>
            </w:pPr>
            <w:r>
              <w:rPr>
                <w:rFonts w:ascii="宋体" w:cs="Arial" w:hint="eastAsia"/>
                <w:color w:val="000000"/>
                <w:kern w:val="0"/>
                <w:sz w:val="22"/>
              </w:rPr>
              <w:t>国有资本经营预算财政拨款</w:t>
            </w:r>
          </w:p>
        </w:tc>
      </w:tr>
      <w:tr>
        <w:trPr>
          <w:trHeight w:val="437"/>
          <w:gridAfter w:val="2"/>
          <w:wAfter w:w="2201" w:type="dxa"/>
        </w:trPr>
        <w:tc>
          <w:tcPr>
            <w:tcW w:w="2458" w:type="dxa"/>
            <w:vMerge/>
            <w:tcBorders>
              <w:top w:val="nil"/>
              <w:left w:val="single" w:sz="4" w:space="0" w:color="000000"/>
              <w:bottom w:val="single" w:sz="4" w:space="0" w:color="000000"/>
              <w:right w:val="single" w:sz="4" w:space="0" w:color="000000"/>
            </w:tcBorders>
            <w:shd w:val="clear" w:color="auto" w:fill="FFFFFF"/>
            <w:vAlign w:val="center"/>
          </w:tcPr>
          <w:p/>
        </w:tc>
        <w:tc>
          <w:tcPr>
            <w:tcW w:w="436" w:type="dxa"/>
            <w:vMerge/>
            <w:tcBorders>
              <w:top w:val="nil"/>
              <w:left w:val="nil"/>
              <w:bottom w:val="single" w:sz="4" w:space="0" w:color="000000"/>
              <w:right w:val="single" w:sz="4" w:space="0" w:color="000000"/>
            </w:tcBorders>
            <w:shd w:val="clear" w:color="auto" w:fill="FFFFFF"/>
            <w:vAlign w:val="center"/>
          </w:tcPr>
          <w:p/>
        </w:tc>
        <w:tc>
          <w:tcPr>
            <w:tcW w:w="1536" w:type="dxa"/>
            <w:gridSpan w:val="3"/>
            <w:vMerge/>
            <w:tcBorders>
              <w:top w:val="nil"/>
              <w:left w:val="nil"/>
              <w:bottom w:val="single" w:sz="4" w:space="0" w:color="000000"/>
              <w:right w:val="single" w:sz="4" w:space="0" w:color="000000"/>
            </w:tcBorders>
            <w:shd w:val="clear" w:color="auto" w:fill="FFFFFF"/>
            <w:vAlign w:val="center"/>
          </w:tcPr>
          <w:p/>
        </w:tc>
        <w:tc>
          <w:tcPr>
            <w:tcW w:w="2834" w:type="dxa"/>
            <w:gridSpan w:val="2"/>
            <w:vMerge/>
            <w:tcBorders>
              <w:top w:val="nil"/>
              <w:left w:val="nil"/>
              <w:bottom w:val="single" w:sz="4" w:space="0" w:color="000000"/>
              <w:right w:val="single" w:sz="4" w:space="0" w:color="000000"/>
            </w:tcBorders>
            <w:shd w:val="clear" w:color="auto" w:fill="FFFFFF"/>
            <w:vAlign w:val="center"/>
          </w:tcPr>
          <w:p/>
        </w:tc>
        <w:tc>
          <w:tcPr>
            <w:tcW w:w="436" w:type="dxa"/>
            <w:vMerge/>
            <w:tcBorders>
              <w:top w:val="nil"/>
              <w:left w:val="nil"/>
              <w:bottom w:val="single" w:sz="4" w:space="0" w:color="000000"/>
              <w:right w:val="single" w:sz="4" w:space="0" w:color="000000"/>
            </w:tcBorders>
            <w:shd w:val="clear" w:color="auto" w:fill="FFFFFF"/>
            <w:vAlign w:val="center"/>
          </w:tcPr>
          <w:p/>
        </w:tc>
        <w:tc>
          <w:tcPr>
            <w:tcW w:w="1559" w:type="dxa"/>
            <w:vMerge/>
            <w:tcBorders>
              <w:top w:val="nil"/>
              <w:left w:val="nil"/>
              <w:bottom w:val="single" w:sz="4" w:space="0" w:color="000000"/>
              <w:right w:val="single" w:sz="4" w:space="0" w:color="000000"/>
            </w:tcBorders>
            <w:shd w:val="clear" w:color="auto" w:fill="FFFFFF"/>
            <w:vAlign w:val="center"/>
          </w:tcPr>
          <w:p/>
        </w:tc>
        <w:tc>
          <w:tcPr>
            <w:tcW w:w="1555" w:type="dxa"/>
            <w:gridSpan w:val="3"/>
            <w:vMerge/>
            <w:tcBorders>
              <w:top w:val="nil"/>
              <w:left w:val="nil"/>
              <w:bottom w:val="single" w:sz="4" w:space="0" w:color="000000"/>
              <w:right w:val="single" w:sz="4" w:space="0" w:color="000000"/>
            </w:tcBorders>
            <w:shd w:val="clear" w:color="auto" w:fill="FFFFFF"/>
            <w:vAlign w:val="center"/>
          </w:tcPr>
          <w:p/>
        </w:tc>
        <w:tc>
          <w:tcPr>
            <w:tcW w:w="1706" w:type="dxa"/>
            <w:gridSpan w:val="2"/>
            <w:vMerge/>
            <w:tcBorders>
              <w:top w:val="nil"/>
              <w:left w:val="nil"/>
              <w:bottom w:val="single" w:sz="4" w:space="0" w:color="000000"/>
              <w:right w:val="single" w:sz="4" w:space="0" w:color="000000"/>
            </w:tcBorders>
            <w:shd w:val="clear" w:color="auto" w:fill="FFFFFF"/>
            <w:vAlign w:val="center"/>
          </w:tcPr>
          <w:p/>
        </w:tc>
        <w:tc>
          <w:tcPr>
            <w:tcW w:w="1631" w:type="dxa"/>
            <w:gridSpan w:val="2"/>
            <w:vMerge/>
            <w:tcBorders>
              <w:top w:val="nil"/>
              <w:left w:val="nil"/>
              <w:bottom w:val="single" w:sz="4" w:space="0" w:color="000000"/>
              <w:right w:val="single" w:sz="4" w:space="0" w:color="000000"/>
            </w:tcBorders>
            <w:shd w:val="clear" w:color="auto" w:fill="FFFFFF"/>
            <w:vAlign w:val="center"/>
          </w:tc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栏次</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1</w:t>
            </w: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栏次</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p>
        </w:tc>
        <w:tc>
          <w:tcPr>
            <w:tcW w:w="1559"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2</w:t>
            </w: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3</w:t>
            </w: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4</w:t>
            </w: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5</w:t>
            </w: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一、一般公共预算财政拨款</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1</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1,135.38</w:t>
            </w: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一、一般公共服务支出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16</w:t>
            </w:r>
          </w:p>
        </w:tc>
        <w:tc>
          <w:tcPr>
            <w:tcW w:w="1559" w:type="dxa"/>
            <w:tcBorders>
              <w:top w:val="nil"/>
              <w:left w:val="nil"/>
              <w:bottom w:val="single" w:sz="4" w:space="0" w:color="000000"/>
              <w:right w:val="single" w:sz="4" w:space="0" w:color="000000"/>
            </w:tcBorders>
            <w:shd w:val="clear" w:color="auto" w:fill="FFFFFF"/>
            <w:noWrap/>
            <w:vAlign w:val="center"/>
          </w:tcPr>
          <w:p>
            <w:pPr>
              <w:jc w:val="right"/>
              <w:rPr>
                <w:rFonts w:ascii="宋体" w:cs="Arial"/>
                <w:color w:val="000000"/>
                <w:sz w:val="22"/>
              </w:rPr>
            </w:pPr>
            <w:r>
              <w:rPr>
                <w:rFonts w:ascii="宋体" w:cs="Arial"/>
                <w:color w:val="000000"/>
                <w:sz w:val="22"/>
              </w:rPr>
              <w:t>1,000.38</w:t>
            </w:r>
          </w:p>
        </w:tc>
        <w:tc>
          <w:tcPr>
            <w:tcW w:w="1555" w:type="dxa"/>
            <w:gridSpan w:val="3"/>
            <w:tcBorders>
              <w:top w:val="nil"/>
              <w:left w:val="nil"/>
              <w:bottom w:val="single" w:sz="4" w:space="0" w:color="000000"/>
              <w:right w:val="single" w:sz="4" w:space="0" w:color="000000"/>
            </w:tcBorders>
            <w:shd w:val="clear" w:color="auto" w:fill="FFFFFF"/>
            <w:noWrap/>
            <w:vAlign w:val="center"/>
          </w:tcPr>
          <w:p>
            <w:pPr>
              <w:jc w:val="right"/>
              <w:rPr>
                <w:rFonts w:ascii="宋体" w:cs="Arial"/>
                <w:color w:val="000000"/>
                <w:sz w:val="22"/>
              </w:rPr>
            </w:pPr>
            <w:r>
              <w:rPr>
                <w:rFonts w:ascii="宋体" w:cs="Arial"/>
                <w:color w:val="000000"/>
                <w:sz w:val="22"/>
              </w:rPr>
              <w:t>1,000.38</w:t>
            </w: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二、政府性基金预算财政拨款</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2</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二、外交支出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17</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三、国有资本经营财政拨款</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3</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三、公共安全支出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18</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5</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四、教育支出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20</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6</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五、社会保障和就业支出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21</w:t>
            </w:r>
          </w:p>
        </w:tc>
        <w:tc>
          <w:tcPr>
            <w:tcW w:w="1559" w:type="dxa"/>
            <w:tcBorders>
              <w:top w:val="nil"/>
              <w:left w:val="nil"/>
              <w:bottom w:val="single" w:sz="4" w:space="0" w:color="000000"/>
              <w:right w:val="single" w:sz="4" w:space="0" w:color="000000"/>
            </w:tcBorders>
            <w:shd w:val="clear" w:color="auto" w:fill="FFFFFF"/>
            <w:noWrap/>
            <w:vAlign w:val="center"/>
          </w:tcPr>
          <w:p>
            <w:pPr>
              <w:jc w:val="right"/>
              <w:rPr>
                <w:rFonts w:ascii="宋体" w:cs="Arial"/>
                <w:color w:val="000000"/>
                <w:sz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jc w:val="right"/>
              <w:rPr>
                <w:rFonts w:ascii="宋体" w:cs="Arial"/>
                <w:color w:val="000000"/>
                <w:sz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7</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六、卫生健康支出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22</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8</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七、住房保障支出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23</w:t>
            </w:r>
          </w:p>
        </w:tc>
        <w:tc>
          <w:tcPr>
            <w:tcW w:w="1559" w:type="dxa"/>
            <w:tcBorders>
              <w:top w:val="nil"/>
              <w:left w:val="nil"/>
              <w:bottom w:val="single" w:sz="4" w:space="0" w:color="000000"/>
              <w:right w:val="single" w:sz="4" w:space="0" w:color="000000"/>
            </w:tcBorders>
            <w:shd w:val="clear" w:color="auto" w:fill="FFFFFF"/>
            <w:noWrap/>
            <w:vAlign w:val="center"/>
          </w:tcPr>
          <w:p>
            <w:pPr>
              <w:jc w:val="right"/>
              <w:rPr>
                <w:rFonts w:ascii="宋体" w:cs="Arial"/>
                <w:color w:val="000000"/>
                <w:sz w:val="22"/>
              </w:rPr>
            </w:pPr>
            <w:r>
              <w:rPr>
                <w:rFonts w:ascii="宋体" w:cs="Arial" w:hint="eastAsia"/>
                <w:color w:val="000000"/>
                <w:sz w:val="22"/>
              </w:rPr>
              <w:t>135</w:t>
            </w:r>
            <w:r>
              <w:rPr>
                <w:rFonts w:ascii="宋体" w:cs="Arial"/>
                <w:color w:val="000000"/>
                <w:sz w:val="22"/>
              </w:rPr>
              <w:t>.00</w:t>
            </w:r>
          </w:p>
        </w:tc>
        <w:tc>
          <w:tcPr>
            <w:tcW w:w="1555" w:type="dxa"/>
            <w:gridSpan w:val="3"/>
            <w:tcBorders>
              <w:top w:val="nil"/>
              <w:left w:val="nil"/>
              <w:bottom w:val="single" w:sz="4" w:space="0" w:color="000000"/>
              <w:right w:val="single" w:sz="4" w:space="0" w:color="000000"/>
            </w:tcBorders>
            <w:shd w:val="clear" w:color="auto" w:fill="FFFFFF"/>
            <w:noWrap/>
            <w:vAlign w:val="center"/>
          </w:tcPr>
          <w:p>
            <w:pPr>
              <w:jc w:val="right"/>
              <w:rPr>
                <w:rFonts w:ascii="宋体" w:cs="Arial"/>
                <w:color w:val="000000"/>
                <w:sz w:val="22"/>
              </w:rPr>
            </w:pPr>
            <w:r>
              <w:rPr>
                <w:rFonts w:ascii="宋体" w:cs="Arial" w:hint="eastAsia"/>
                <w:color w:val="000000"/>
                <w:sz w:val="22"/>
              </w:rPr>
              <w:t>135</w:t>
            </w:r>
            <w:r>
              <w:rPr>
                <w:rFonts w:ascii="宋体" w:cs="Arial"/>
                <w:color w:val="000000"/>
                <w:sz w:val="22"/>
              </w:rPr>
              <w:t>.00</w:t>
            </w: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9</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八、国有资本经营预算支出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24</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center"/>
              <w:rPr>
                <w:rFonts w:ascii="宋体" w:cs="Arial"/>
                <w:b/>
                <w:bCs/>
                <w:color w:val="000000"/>
                <w:kern w:val="0"/>
                <w:sz w:val="22"/>
              </w:rPr>
            </w:pPr>
            <w:r>
              <w:rPr>
                <w:rFonts w:ascii="宋体" w:cs="Arial" w:hint="eastAsia"/>
                <w:b/>
                <w:bCs/>
                <w:color w:val="000000"/>
                <w:kern w:val="0"/>
                <w:sz w:val="22"/>
              </w:rPr>
              <w:t>本年收入合计</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10</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1,135.38</w:t>
            </w: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b/>
                <w:bCs/>
                <w:color w:val="000000"/>
                <w:kern w:val="0"/>
                <w:sz w:val="22"/>
              </w:rPr>
            </w:pPr>
            <w:r>
              <w:rPr>
                <w:rFonts w:ascii="宋体" w:cs="Arial" w:hint="eastAsia"/>
                <w:b/>
                <w:bCs/>
                <w:color w:val="000000"/>
                <w:kern w:val="0"/>
                <w:sz w:val="22"/>
              </w:rPr>
              <w:t>本年支出合计</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25</w:t>
            </w:r>
          </w:p>
        </w:tc>
        <w:tc>
          <w:tcPr>
            <w:tcW w:w="1559" w:type="dxa"/>
            <w:tcBorders>
              <w:top w:val="nil"/>
              <w:left w:val="nil"/>
              <w:bottom w:val="single" w:sz="4" w:space="0" w:color="000000"/>
              <w:right w:val="single" w:sz="4" w:space="0" w:color="000000"/>
            </w:tcBorders>
            <w:shd w:val="clear" w:color="auto" w:fill="FFFFFF"/>
            <w:noWrap/>
            <w:vAlign w:val="center"/>
          </w:tcPr>
          <w:p>
            <w:pPr>
              <w:jc w:val="right"/>
              <w:rPr>
                <w:rFonts w:ascii="宋体" w:cs="Arial"/>
                <w:color w:val="000000"/>
                <w:sz w:val="22"/>
              </w:rPr>
            </w:pPr>
            <w:r>
              <w:rPr>
                <w:rFonts w:ascii="宋体" w:cs="Arial"/>
                <w:color w:val="000000"/>
                <w:kern w:val="0"/>
                <w:sz w:val="22"/>
              </w:rPr>
              <w:t>1,135.38</w:t>
            </w:r>
          </w:p>
        </w:tc>
        <w:tc>
          <w:tcPr>
            <w:tcW w:w="1555" w:type="dxa"/>
            <w:gridSpan w:val="3"/>
            <w:tcBorders>
              <w:top w:val="nil"/>
              <w:left w:val="nil"/>
              <w:bottom w:val="single" w:sz="4" w:space="0" w:color="000000"/>
              <w:right w:val="single" w:sz="4" w:space="0" w:color="000000"/>
            </w:tcBorders>
            <w:shd w:val="clear" w:color="auto" w:fill="FFFFFF"/>
            <w:noWrap/>
            <w:vAlign w:val="center"/>
          </w:tcPr>
          <w:p>
            <w:pPr>
              <w:jc w:val="right"/>
              <w:rPr>
                <w:rFonts w:ascii="宋体" w:cs="Arial"/>
                <w:color w:val="000000"/>
                <w:sz w:val="22"/>
              </w:rPr>
            </w:pPr>
            <w:r>
              <w:rPr>
                <w:rFonts w:ascii="宋体" w:cs="Arial"/>
                <w:color w:val="000000"/>
                <w:kern w:val="0"/>
                <w:sz w:val="22"/>
              </w:rPr>
              <w:t>1,135.38</w:t>
            </w: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年初财政拨款结转和结余</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11</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年末财政拨款结转和结余</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26</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一般公共预算财政拨款</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12</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27</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政府性基金预算财政拨款</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13</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28</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r>
              <w:rPr>
                <w:rFonts w:ascii="宋体" w:cs="Arial" w:hint="eastAsia"/>
                <w:color w:val="000000"/>
                <w:kern w:val="0"/>
                <w:sz w:val="22"/>
              </w:rPr>
              <w:t>国有资本经营预算财政拨款</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14</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rPr>
            </w:pP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29</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center"/>
              <w:rPr>
                <w:rFonts w:ascii="宋体" w:cs="Arial"/>
                <w:b/>
                <w:bCs/>
                <w:color w:val="000000"/>
                <w:kern w:val="0"/>
                <w:sz w:val="22"/>
              </w:rPr>
            </w:pPr>
            <w:r>
              <w:rPr>
                <w:rFonts w:ascii="宋体" w:cs="Arial" w:hint="eastAsia"/>
                <w:b/>
                <w:bCs/>
                <w:color w:val="000000"/>
                <w:kern w:val="0"/>
                <w:sz w:val="22"/>
              </w:rPr>
              <w:t>总计</w:t>
            </w:r>
          </w:p>
        </w:tc>
        <w:tc>
          <w:tcPr>
            <w:tcW w:w="436" w:type="dxa"/>
            <w:tcBorders>
              <w:top w:val="nil"/>
              <w:left w:val="nil"/>
              <w:bottom w:val="single" w:sz="8"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15</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1,135.38</w:t>
            </w: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b/>
                <w:bCs/>
                <w:color w:val="000000"/>
                <w:kern w:val="0"/>
                <w:sz w:val="22"/>
              </w:rPr>
            </w:pPr>
            <w:r>
              <w:rPr>
                <w:rFonts w:ascii="宋体" w:cs="Arial" w:hint="eastAsia"/>
                <w:b/>
                <w:bCs/>
                <w:color w:val="000000"/>
                <w:kern w:val="0"/>
                <w:sz w:val="22"/>
              </w:rPr>
              <w:t>总计</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30</w:t>
            </w:r>
          </w:p>
        </w:tc>
        <w:tc>
          <w:tcPr>
            <w:tcW w:w="1559" w:type="dxa"/>
            <w:tcBorders>
              <w:top w:val="nil"/>
              <w:left w:val="nil"/>
              <w:bottom w:val="single" w:sz="4" w:space="0" w:color="000000"/>
              <w:right w:val="single" w:sz="4" w:space="0" w:color="000000"/>
            </w:tcBorders>
            <w:shd w:val="clear" w:color="auto" w:fill="FFFFFF"/>
            <w:noWrap/>
            <w:vAlign w:val="center"/>
          </w:tcPr>
          <w:p>
            <w:pPr>
              <w:jc w:val="right"/>
              <w:rPr>
                <w:rFonts w:ascii="宋体" w:cs="Arial"/>
                <w:color w:val="000000"/>
                <w:sz w:val="22"/>
              </w:rPr>
            </w:pPr>
            <w:r>
              <w:rPr>
                <w:rFonts w:ascii="宋体" w:cs="Arial"/>
                <w:color w:val="000000"/>
                <w:kern w:val="0"/>
                <w:sz w:val="22"/>
              </w:rPr>
              <w:t>1,135.38</w:t>
            </w:r>
          </w:p>
        </w:tc>
        <w:tc>
          <w:tcPr>
            <w:tcW w:w="1555" w:type="dxa"/>
            <w:gridSpan w:val="3"/>
            <w:tcBorders>
              <w:top w:val="nil"/>
              <w:left w:val="nil"/>
              <w:bottom w:val="single" w:sz="4" w:space="0" w:color="000000"/>
              <w:right w:val="single" w:sz="4" w:space="0" w:color="000000"/>
            </w:tcBorders>
            <w:shd w:val="clear" w:color="auto" w:fill="FFFFFF"/>
            <w:noWrap/>
            <w:vAlign w:val="center"/>
          </w:tcPr>
          <w:p>
            <w:pPr>
              <w:jc w:val="right"/>
              <w:rPr>
                <w:rFonts w:ascii="宋体" w:cs="Arial"/>
                <w:color w:val="000000"/>
                <w:sz w:val="22"/>
              </w:rPr>
            </w:pPr>
            <w:r>
              <w:rPr>
                <w:rFonts w:ascii="宋体" w:cs="Arial"/>
                <w:color w:val="000000"/>
                <w:kern w:val="0"/>
                <w:sz w:val="22"/>
              </w:rPr>
              <w:t>1,135.38</w:t>
            </w: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rPr>
            </w:pPr>
          </w:p>
        </w:tc>
      </w:tr>
      <w:tr>
        <w:trPr>
          <w:trHeight w:val="308"/>
          <w:gridAfter w:val="2"/>
          <w:wAfter w:w="2201" w:type="dxa"/>
        </w:trPr>
        <w:tc>
          <w:tcPr>
            <w:tcW w:w="14151" w:type="dxa"/>
            <w:gridSpan w:val="16"/>
            <w:tcBorders>
              <w:top w:val="nil"/>
              <w:left w:val="nil"/>
              <w:bottom w:val="nil"/>
              <w:right w:val="nil"/>
            </w:tcBorders>
            <w:shd w:val="clear" w:color="auto" w:fill="auto"/>
            <w:noWrap/>
            <w:vAlign w:val="center"/>
          </w:tcPr>
          <w:p>
            <w:pPr>
              <w:widowControl/>
              <w:jc w:val="left"/>
              <w:rPr>
                <w:rFonts w:ascii="宋体" w:cs="Arial"/>
                <w:color w:val="000000"/>
                <w:kern w:val="0"/>
                <w:sz w:val="20"/>
                <w:szCs w:val="20"/>
              </w:rPr>
            </w:pPr>
            <w:r>
              <w:rPr>
                <w:rFonts w:ascii="宋体" w:cs="Arial" w:hint="eastAsia"/>
                <w:color w:val="000000"/>
                <w:kern w:val="0"/>
                <w:sz w:val="22"/>
              </w:rPr>
              <w:t>注：本表反映部门本年度一般公共预算财政拨款、政府性基金预算财政拨款和国有资本经营预算财政拨款的总收支和年末结转结余情况。</w:t>
            </w:r>
          </w:p>
        </w:tc>
      </w:tr>
    </w:tbl>
    <w:p>
      <w:pPr>
        <w:sectPr>
          <w:pgSz w:w="16840" w:h="11907" w:orient="landscape"/>
          <w:pgMar w:top="1134" w:right="1440" w:bottom="1134" w:left="1440" w:header="851" w:footer="992" w:gutter="0"/>
          <w:docGrid w:type="linesAndChars" w:linePitch="312" w:charSpace="0"/>
        </w:sectPr>
      </w:pPr>
    </w:p>
    <w:p/>
    <w:tbl>
      <w:tblPr>
        <w:jc w:val="left"/>
        <w:tblW w:w="5000"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2456"/>
        <w:gridCol w:w="311"/>
        <w:gridCol w:w="311"/>
        <w:gridCol w:w="4973"/>
        <w:gridCol w:w="2016"/>
        <w:gridCol w:w="2016"/>
        <w:gridCol w:w="2093"/>
      </w:tblGrid>
      <w:tr>
        <w:trPr>
          <w:trHeight w:val="555"/>
        </w:trPr>
        <w:tc>
          <w:tcPr>
            <w:tcW w:w="14176" w:type="dxa"/>
            <w:gridSpan w:val="7"/>
            <w:tcBorders>
              <w:top w:val="nil"/>
              <w:left w:val="nil"/>
              <w:bottom w:val="nil"/>
              <w:right w:val="nil"/>
            </w:tcBorders>
            <w:noWrap/>
            <w:vAlign w:val="bottom"/>
          </w:tcPr>
          <w:p>
            <w:pPr>
              <w:widowControl/>
              <w:jc w:val="center"/>
              <w:rPr>
                <w:rFonts w:ascii="宋体" w:cs="Arial"/>
                <w:color w:val="000000"/>
                <w:kern w:val="0"/>
                <w:sz w:val="30"/>
                <w:szCs w:val="30"/>
              </w:rPr>
            </w:pPr>
            <w:r>
              <w:rPr>
                <w:rFonts w:ascii="宋体" w:cs="Arial" w:hint="eastAsia"/>
                <w:b/>
                <w:color w:val="000000"/>
                <w:kern w:val="0"/>
                <w:sz w:val="44"/>
                <w:szCs w:val="44"/>
              </w:rPr>
              <w:t>一般公共预算财政拨款支出决算表</w:t>
            </w:r>
          </w:p>
        </w:tc>
      </w:tr>
      <w:tr>
        <w:trPr>
          <w:trHeight w:val="255"/>
        </w:trPr>
        <w:tc>
          <w:tcPr>
            <w:tcW w:w="2456" w:type="dxa"/>
            <w:tcBorders>
              <w:top w:val="nil"/>
              <w:left w:val="nil"/>
              <w:bottom w:val="nil"/>
              <w:right w:val="nil"/>
            </w:tcBorders>
            <w:noWrap/>
            <w:vAlign w:val="bottom"/>
          </w:tcPr>
          <w:p>
            <w:pPr>
              <w:widowControl/>
              <w:jc w:val="left"/>
              <w:rPr>
                <w:rFonts w:ascii="Arial" w:cs="Arial" w:hAnsi="Arial"/>
                <w:color w:val="000000"/>
                <w:kern w:val="0"/>
                <w:sz w:val="20"/>
                <w:szCs w:val="20"/>
              </w:rPr>
            </w:pPr>
            <w:r>
              <w:rPr>
                <w:rFonts w:ascii="Arial" w:cs="Arial" w:hAnsi="Arial" w:hint="eastAsia"/>
                <w:color w:val="000000"/>
                <w:kern w:val="0"/>
                <w:sz w:val="20"/>
                <w:szCs w:val="20"/>
              </w:rPr>
              <w:t>部门：重庆海关技术中心</w:t>
            </w:r>
          </w:p>
        </w:tc>
        <w:tc>
          <w:tcPr>
            <w:tcW w:w="311"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311"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4973"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01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01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093" w:type="dxa"/>
            <w:tcBorders>
              <w:top w:val="nil"/>
              <w:left w:val="nil"/>
              <w:bottom w:val="nil"/>
              <w:right w:val="nil"/>
            </w:tcBorders>
            <w:noWrap/>
            <w:vAlign w:val="bottom"/>
          </w:tcPr>
          <w:p>
            <w:pPr>
              <w:widowControl/>
              <w:ind w:right="400"/>
              <w:rPr>
                <w:rFonts w:ascii="Arial" w:cs="Arial" w:hAnsi="Arial"/>
                <w:color w:val="000000"/>
                <w:kern w:val="0"/>
                <w:sz w:val="20"/>
                <w:szCs w:val="20"/>
              </w:rPr>
            </w:pPr>
            <w:r>
              <w:rPr>
                <w:rFonts w:ascii="Arial" w:cs="Arial" w:hAnsi="Arial" w:hint="eastAsia"/>
                <w:color w:val="000000"/>
                <w:kern w:val="0"/>
                <w:sz w:val="20"/>
                <w:szCs w:val="20"/>
              </w:rPr>
              <w:t xml:space="preserve">     公开05表</w:t>
            </w:r>
          </w:p>
          <w:p>
            <w:pPr>
              <w:widowControl/>
              <w:ind w:right="400"/>
              <w:rPr>
                <w:rFonts w:ascii="Arial" w:cs="Arial" w:hAnsi="Arial"/>
                <w:color w:val="000000"/>
                <w:kern w:val="0"/>
                <w:sz w:val="20"/>
                <w:szCs w:val="20"/>
              </w:rPr>
            </w:pPr>
            <w:r>
              <w:rPr>
                <w:rFonts w:ascii="Arial" w:cs="Arial" w:hAnsi="Arial" w:hint="eastAsia"/>
                <w:color w:val="000000"/>
                <w:kern w:val="0"/>
                <w:sz w:val="20"/>
                <w:szCs w:val="20"/>
              </w:rPr>
              <w:t xml:space="preserve"> 金额单位：万元</w:t>
            </w:r>
          </w:p>
        </w:tc>
      </w:tr>
      <w:tr>
        <w:trPr>
          <w:trHeight w:val="315"/>
        </w:trPr>
        <w:tc>
          <w:tcPr>
            <w:tcW w:w="8051" w:type="dxa"/>
            <w:gridSpan w:val="4"/>
            <w:tcBorders>
              <w:top w:val="single" w:sz="6" w:space="0" w:color="000000"/>
              <w:left w:val="single" w:sz="6" w:space="0" w:color="000000"/>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项目</w:t>
            </w:r>
          </w:p>
        </w:tc>
        <w:tc>
          <w:tcPr>
            <w:tcW w:w="6125" w:type="dxa"/>
            <w:gridSpan w:val="3"/>
            <w:tcBorders>
              <w:top w:val="single" w:sz="6" w:space="0" w:color="000000"/>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本年支出</w:t>
            </w:r>
          </w:p>
        </w:tc>
      </w:tr>
      <w:tr>
        <w:trPr>
          <w:trHeight w:val="315"/>
        </w:trPr>
        <w:tc>
          <w:tcPr>
            <w:tcW w:w="3078" w:type="dxa"/>
            <w:gridSpan w:val="3"/>
            <w:vMerge w:val="restart"/>
            <w:tcBorders>
              <w:top w:val="nil"/>
              <w:left w:val="single" w:sz="6" w:space="0" w:color="000000"/>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功能分类科目编码</w:t>
            </w:r>
          </w:p>
        </w:tc>
        <w:tc>
          <w:tcPr>
            <w:tcW w:w="4973" w:type="dxa"/>
            <w:vMerge w:val="restart"/>
            <w:tcBorders>
              <w:top w:val="nil"/>
              <w:left w:val="nil"/>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科目名称</w:t>
            </w:r>
          </w:p>
        </w:tc>
        <w:tc>
          <w:tcPr>
            <w:tcW w:w="2016" w:type="dxa"/>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小计</w:t>
            </w:r>
          </w:p>
        </w:tc>
        <w:tc>
          <w:tcPr>
            <w:tcW w:w="2016" w:type="dxa"/>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基本支出</w:t>
            </w:r>
          </w:p>
        </w:tc>
        <w:tc>
          <w:tcPr>
            <w:tcW w:w="2093" w:type="dxa"/>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项目支出</w:t>
            </w:r>
          </w:p>
        </w:tc>
      </w:tr>
      <w:tr>
        <w:trPr>
          <w:trHeight w:val="312"/>
        </w:trPr>
        <w:tc>
          <w:tcPr>
            <w:tcW w:w="3078" w:type="dxa"/>
            <w:gridSpan w:val="3"/>
            <w:vMerge/>
            <w:tcBorders>
              <w:top w:val="nil"/>
              <w:left w:val="single" w:sz="6" w:space="0" w:color="000000"/>
              <w:bottom w:val="single" w:sz="6" w:space="0" w:color="000000"/>
              <w:right w:val="single" w:sz="6" w:space="0" w:color="000000"/>
            </w:tcBorders>
            <w:vAlign w:val="center"/>
          </w:tcPr>
          <w:p/>
        </w:tc>
        <w:tc>
          <w:tcPr>
            <w:tcW w:w="4973" w:type="dxa"/>
            <w:vMerge/>
            <w:tcBorders>
              <w:top w:val="nil"/>
              <w:left w:val="nil"/>
              <w:bottom w:val="single" w:sz="6" w:space="0" w:color="000000"/>
              <w:right w:val="single" w:sz="6" w:space="0" w:color="000000"/>
            </w:tcBorders>
            <w:vAlign w:val="center"/>
          </w:tcPr>
          <w:p/>
        </w:tc>
        <w:tc>
          <w:tcPr>
            <w:tcW w:w="2016" w:type="dxa"/>
            <w:vMerge/>
            <w:tcBorders>
              <w:top w:val="nil"/>
              <w:left w:val="nil"/>
              <w:bottom w:val="single" w:sz="6" w:space="0" w:color="000000"/>
              <w:right w:val="single" w:sz="6" w:space="0" w:color="000000"/>
            </w:tcBorders>
            <w:vAlign w:val="center"/>
          </w:tcPr>
          <w:p/>
        </w:tc>
        <w:tc>
          <w:tcPr>
            <w:tcW w:w="2016" w:type="dxa"/>
            <w:vMerge/>
            <w:tcBorders>
              <w:top w:val="nil"/>
              <w:left w:val="nil"/>
              <w:bottom w:val="single" w:sz="6" w:space="0" w:color="000000"/>
              <w:right w:val="single" w:sz="6" w:space="0" w:color="000000"/>
            </w:tcBorders>
            <w:vAlign w:val="center"/>
          </w:tcPr>
          <w:p/>
        </w:tc>
        <w:tc>
          <w:tcPr>
            <w:tcW w:w="2093" w:type="dxa"/>
            <w:vMerge/>
            <w:tcBorders>
              <w:top w:val="nil"/>
              <w:left w:val="nil"/>
              <w:bottom w:val="single" w:sz="6" w:space="0" w:color="000000"/>
              <w:right w:val="single" w:sz="6" w:space="0" w:color="000000"/>
            </w:tcBorders>
            <w:vAlign w:val="center"/>
          </w:tcPr>
          <w:p/>
        </w:tc>
      </w:tr>
      <w:tr>
        <w:trPr>
          <w:trHeight w:val="315"/>
        </w:trPr>
        <w:tc>
          <w:tcPr>
            <w:tcW w:w="3078" w:type="dxa"/>
            <w:gridSpan w:val="3"/>
            <w:vMerge/>
            <w:tcBorders>
              <w:top w:val="nil"/>
              <w:left w:val="single" w:sz="6" w:space="0" w:color="000000"/>
              <w:bottom w:val="single" w:sz="6" w:space="0" w:color="000000"/>
              <w:right w:val="single" w:sz="6" w:space="0" w:color="000000"/>
            </w:tcBorders>
            <w:vAlign w:val="center"/>
          </w:tcPr>
          <w:p/>
        </w:tc>
        <w:tc>
          <w:tcPr>
            <w:tcW w:w="4973" w:type="dxa"/>
            <w:vMerge/>
            <w:tcBorders>
              <w:top w:val="nil"/>
              <w:left w:val="nil"/>
              <w:bottom w:val="single" w:sz="6" w:space="0" w:color="000000"/>
              <w:right w:val="single" w:sz="6" w:space="0" w:color="000000"/>
            </w:tcBorders>
            <w:vAlign w:val="center"/>
          </w:tcPr>
          <w:p/>
        </w:tc>
        <w:tc>
          <w:tcPr>
            <w:tcW w:w="2016" w:type="dxa"/>
            <w:vMerge/>
            <w:tcBorders>
              <w:top w:val="nil"/>
              <w:left w:val="nil"/>
              <w:bottom w:val="single" w:sz="6" w:space="0" w:color="000000"/>
              <w:right w:val="single" w:sz="6" w:space="0" w:color="000000"/>
            </w:tcBorders>
            <w:vAlign w:val="center"/>
          </w:tcPr>
          <w:p/>
        </w:tc>
        <w:tc>
          <w:tcPr>
            <w:tcW w:w="2016" w:type="dxa"/>
            <w:vMerge/>
            <w:tcBorders>
              <w:top w:val="nil"/>
              <w:left w:val="nil"/>
              <w:bottom w:val="single" w:sz="6" w:space="0" w:color="000000"/>
              <w:right w:val="single" w:sz="6" w:space="0" w:color="000000"/>
            </w:tcBorders>
            <w:vAlign w:val="center"/>
          </w:tcPr>
          <w:p/>
        </w:tc>
        <w:tc>
          <w:tcPr>
            <w:tcW w:w="2093" w:type="dxa"/>
            <w:vMerge/>
            <w:tcBorders>
              <w:top w:val="nil"/>
              <w:left w:val="nil"/>
              <w:bottom w:val="single" w:sz="6" w:space="0" w:color="000000"/>
              <w:right w:val="single" w:sz="6" w:space="0" w:color="000000"/>
            </w:tcBorders>
            <w:vAlign w:val="center"/>
          </w:tcPr>
          <w:p/>
        </w:tc>
      </w:tr>
      <w:tr>
        <w:trPr>
          <w:trHeight w:val="315"/>
        </w:trPr>
        <w:tc>
          <w:tcPr>
            <w:tcW w:w="8051" w:type="dxa"/>
            <w:gridSpan w:val="4"/>
            <w:tcBorders>
              <w:top w:val="nil"/>
              <w:left w:val="single" w:sz="6" w:space="0" w:color="000000"/>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栏次</w:t>
            </w:r>
          </w:p>
        </w:tc>
        <w:tc>
          <w:tcPr>
            <w:tcW w:w="2016" w:type="dxa"/>
            <w:tcBorders>
              <w:top w:val="nil"/>
              <w:left w:val="nil"/>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1</w:t>
            </w:r>
          </w:p>
        </w:tc>
        <w:tc>
          <w:tcPr>
            <w:tcW w:w="2016" w:type="dxa"/>
            <w:tcBorders>
              <w:top w:val="nil"/>
              <w:left w:val="nil"/>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2</w:t>
            </w:r>
          </w:p>
        </w:tc>
        <w:tc>
          <w:tcPr>
            <w:tcW w:w="2093" w:type="dxa"/>
            <w:tcBorders>
              <w:top w:val="nil"/>
              <w:left w:val="nil"/>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3</w:t>
            </w:r>
          </w:p>
        </w:tc>
      </w:tr>
      <w:tr>
        <w:trPr>
          <w:trHeight w:val="315"/>
        </w:trPr>
        <w:tc>
          <w:tcPr>
            <w:tcW w:w="8051" w:type="dxa"/>
            <w:gridSpan w:val="4"/>
            <w:tcBorders>
              <w:top w:val="nil"/>
              <w:left w:val="single" w:sz="6" w:space="0" w:color="000000"/>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合计</w:t>
            </w:r>
          </w:p>
        </w:tc>
        <w:tc>
          <w:tcPr>
            <w:tcW w:w="2016" w:type="dxa"/>
            <w:tcBorders>
              <w:top w:val="nil"/>
              <w:left w:val="nil"/>
              <w:bottom w:val="single" w:sz="6" w:space="0" w:color="000000"/>
              <w:right w:val="single" w:sz="6" w:space="0" w:color="000000"/>
            </w:tcBorders>
            <w:noWrap/>
            <w:vAlign w:val="center"/>
          </w:tcPr>
          <w:p>
            <w:pPr>
              <w:jc w:val="center"/>
              <w:rPr>
                <w:rFonts w:ascii="宋体" w:cs="Arial"/>
                <w:bCs/>
                <w:color w:val="000000"/>
                <w:sz w:val="22"/>
              </w:rPr>
            </w:pPr>
            <w:r>
              <w:rPr>
                <w:rFonts w:ascii="宋体" w:cs="Arial" w:hint="eastAsia"/>
                <w:bCs/>
                <w:color w:val="000000"/>
                <w:sz w:val="22"/>
              </w:rPr>
              <w:t>1,135.38</w:t>
            </w:r>
          </w:p>
        </w:tc>
        <w:tc>
          <w:tcPr>
            <w:tcW w:w="2016" w:type="dxa"/>
            <w:tcBorders>
              <w:top w:val="nil"/>
              <w:left w:val="nil"/>
              <w:bottom w:val="single" w:sz="6" w:space="0" w:color="000000"/>
              <w:right w:val="single" w:sz="6" w:space="0" w:color="000000"/>
            </w:tcBorders>
            <w:noWrap/>
            <w:vAlign w:val="center"/>
          </w:tcPr>
          <w:p>
            <w:pPr>
              <w:jc w:val="center"/>
              <w:rPr>
                <w:rFonts w:ascii="宋体" w:cs="Arial"/>
                <w:bCs/>
                <w:color w:val="000000"/>
                <w:sz w:val="22"/>
              </w:rPr>
            </w:pPr>
            <w:r>
              <w:rPr>
                <w:rFonts w:ascii="宋体" w:cs="Arial" w:hint="eastAsia"/>
                <w:bCs/>
                <w:color w:val="000000"/>
                <w:sz w:val="22"/>
              </w:rPr>
              <w:t>490.59</w:t>
            </w:r>
          </w:p>
        </w:tc>
        <w:tc>
          <w:tcPr>
            <w:tcW w:w="2093" w:type="dxa"/>
            <w:tcBorders>
              <w:top w:val="nil"/>
              <w:left w:val="nil"/>
              <w:bottom w:val="single" w:sz="6" w:space="0" w:color="000000"/>
              <w:right w:val="single" w:sz="6" w:space="0" w:color="000000"/>
            </w:tcBorders>
            <w:noWrap/>
            <w:vAlign w:val="center"/>
          </w:tcPr>
          <w:p>
            <w:pPr>
              <w:jc w:val="center"/>
              <w:rPr>
                <w:rFonts w:ascii="宋体" w:cs="Arial"/>
                <w:bCs/>
                <w:color w:val="000000"/>
                <w:sz w:val="22"/>
              </w:rPr>
            </w:pPr>
            <w:r>
              <w:rPr>
                <w:rFonts w:ascii="宋体" w:cs="Arial" w:hint="eastAsia"/>
                <w:bCs/>
                <w:color w:val="000000"/>
                <w:sz w:val="22"/>
              </w:rPr>
              <w:t>644.79</w:t>
            </w:r>
          </w:p>
        </w:tc>
      </w:tr>
      <w:tr>
        <w:trPr>
          <w:trHeight w:val="315"/>
        </w:trPr>
        <w:tc>
          <w:tcPr>
            <w:tcW w:w="3078" w:type="dxa"/>
            <w:gridSpan w:val="3"/>
            <w:tcBorders>
              <w:top w:val="nil"/>
              <w:left w:val="single" w:sz="6" w:space="0" w:color="000000"/>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201</w:t>
            </w:r>
          </w:p>
        </w:tc>
        <w:tc>
          <w:tcPr>
            <w:tcW w:w="4973" w:type="dxa"/>
            <w:tcBorders>
              <w:top w:val="nil"/>
              <w:left w:val="nil"/>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一般公共服务支出</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1,000.38</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355.59</w:t>
            </w:r>
          </w:p>
        </w:tc>
        <w:tc>
          <w:tcPr>
            <w:tcW w:w="2093"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644.79</w:t>
            </w:r>
          </w:p>
        </w:tc>
      </w:tr>
      <w:tr>
        <w:trPr>
          <w:trHeight w:val="315"/>
        </w:trPr>
        <w:tc>
          <w:tcPr>
            <w:tcW w:w="3078" w:type="dxa"/>
            <w:gridSpan w:val="3"/>
            <w:tcBorders>
              <w:top w:val="nil"/>
              <w:left w:val="single" w:sz="6" w:space="0" w:color="000000"/>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20109</w:t>
            </w:r>
          </w:p>
        </w:tc>
        <w:tc>
          <w:tcPr>
            <w:tcW w:w="4973" w:type="dxa"/>
            <w:tcBorders>
              <w:top w:val="nil"/>
              <w:left w:val="nil"/>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海关事务</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1,000.38</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355.59</w:t>
            </w:r>
          </w:p>
        </w:tc>
        <w:tc>
          <w:tcPr>
            <w:tcW w:w="2093"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644.79</w:t>
            </w:r>
          </w:p>
        </w:tc>
      </w:tr>
      <w:tr>
        <w:trPr>
          <w:trHeight w:val="315"/>
        </w:trPr>
        <w:tc>
          <w:tcPr>
            <w:tcW w:w="3078" w:type="dxa"/>
            <w:gridSpan w:val="3"/>
            <w:tcBorders>
              <w:top w:val="nil"/>
              <w:left w:val="single" w:sz="6" w:space="0" w:color="000000"/>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2010902</w:t>
            </w:r>
          </w:p>
        </w:tc>
        <w:tc>
          <w:tcPr>
            <w:tcW w:w="4973" w:type="dxa"/>
            <w:tcBorders>
              <w:top w:val="nil"/>
              <w:left w:val="nil"/>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 xml:space="preserve">  一般行政管理事务</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6.00</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0.00</w:t>
            </w:r>
          </w:p>
        </w:tc>
        <w:tc>
          <w:tcPr>
            <w:tcW w:w="2093"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6.00</w:t>
            </w:r>
          </w:p>
        </w:tc>
      </w:tr>
      <w:tr>
        <w:trPr>
          <w:trHeight w:val="315"/>
        </w:trPr>
        <w:tc>
          <w:tcPr>
            <w:tcW w:w="3078" w:type="dxa"/>
            <w:gridSpan w:val="3"/>
            <w:tcBorders>
              <w:top w:val="nil"/>
              <w:left w:val="single" w:sz="6" w:space="0" w:color="000000"/>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2010909</w:t>
            </w:r>
          </w:p>
        </w:tc>
        <w:tc>
          <w:tcPr>
            <w:tcW w:w="4973" w:type="dxa"/>
            <w:tcBorders>
              <w:top w:val="nil"/>
              <w:left w:val="nil"/>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 xml:space="preserve">  海关关务</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173.00</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0.00</w:t>
            </w:r>
          </w:p>
        </w:tc>
        <w:tc>
          <w:tcPr>
            <w:tcW w:w="2093"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173.00</w:t>
            </w:r>
          </w:p>
        </w:tc>
      </w:tr>
      <w:tr>
        <w:trPr>
          <w:trHeight w:val="315"/>
        </w:trPr>
        <w:tc>
          <w:tcPr>
            <w:tcW w:w="3078" w:type="dxa"/>
            <w:gridSpan w:val="3"/>
            <w:tcBorders>
              <w:top w:val="nil"/>
              <w:left w:val="single" w:sz="6" w:space="0" w:color="000000"/>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2010912</w:t>
            </w:r>
          </w:p>
        </w:tc>
        <w:tc>
          <w:tcPr>
            <w:tcW w:w="4973" w:type="dxa"/>
            <w:tcBorders>
              <w:top w:val="nil"/>
              <w:left w:val="nil"/>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 xml:space="preserve">  检验检疫</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465.79</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0.00</w:t>
            </w:r>
          </w:p>
        </w:tc>
        <w:tc>
          <w:tcPr>
            <w:tcW w:w="2093"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465.79</w:t>
            </w:r>
          </w:p>
        </w:tc>
      </w:tr>
      <w:tr>
        <w:trPr>
          <w:trHeight w:val="315"/>
        </w:trPr>
        <w:tc>
          <w:tcPr>
            <w:tcW w:w="3078" w:type="dxa"/>
            <w:gridSpan w:val="3"/>
            <w:tcBorders>
              <w:top w:val="nil"/>
              <w:left w:val="single" w:sz="6" w:space="0" w:color="000000"/>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2010950</w:t>
            </w:r>
          </w:p>
        </w:tc>
        <w:tc>
          <w:tcPr>
            <w:tcW w:w="4973" w:type="dxa"/>
            <w:tcBorders>
              <w:top w:val="nil"/>
              <w:left w:val="nil"/>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 xml:space="preserve">  事业运行</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355.59</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355.59</w:t>
            </w:r>
          </w:p>
        </w:tc>
        <w:tc>
          <w:tcPr>
            <w:tcW w:w="2093"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3078" w:type="dxa"/>
            <w:gridSpan w:val="3"/>
            <w:tcBorders>
              <w:top w:val="nil"/>
              <w:left w:val="single" w:sz="6" w:space="0" w:color="000000"/>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221</w:t>
            </w:r>
          </w:p>
        </w:tc>
        <w:tc>
          <w:tcPr>
            <w:tcW w:w="4973" w:type="dxa"/>
            <w:tcBorders>
              <w:top w:val="nil"/>
              <w:left w:val="nil"/>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住房保障支出</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135.00</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135.00</w:t>
            </w:r>
          </w:p>
        </w:tc>
        <w:tc>
          <w:tcPr>
            <w:tcW w:w="2093"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3078" w:type="dxa"/>
            <w:gridSpan w:val="3"/>
            <w:tcBorders>
              <w:top w:val="nil"/>
              <w:left w:val="single" w:sz="6" w:space="0" w:color="000000"/>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22102</w:t>
            </w:r>
          </w:p>
        </w:tc>
        <w:tc>
          <w:tcPr>
            <w:tcW w:w="4973" w:type="dxa"/>
            <w:tcBorders>
              <w:top w:val="nil"/>
              <w:left w:val="nil"/>
              <w:bottom w:val="single" w:sz="6" w:space="0" w:color="000000"/>
              <w:right w:val="single" w:sz="6" w:space="0" w:color="000000"/>
            </w:tcBorders>
            <w:noWrap/>
            <w:vAlign w:val="center"/>
          </w:tcPr>
          <w:p>
            <w:pPr>
              <w:rPr>
                <w:rFonts w:ascii="宋体" w:cs="Arial"/>
                <w:color w:val="000000"/>
                <w:sz w:val="22"/>
              </w:rPr>
            </w:pPr>
            <w:r>
              <w:rPr>
                <w:rFonts w:ascii="宋体" w:cs="Arial" w:hint="eastAsia"/>
                <w:color w:val="000000"/>
                <w:sz w:val="22"/>
              </w:rPr>
              <w:t>住房改革支出</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135.00</w:t>
            </w:r>
          </w:p>
        </w:tc>
        <w:tc>
          <w:tcPr>
            <w:tcW w:w="2016"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135.00</w:t>
            </w:r>
          </w:p>
        </w:tc>
        <w:tc>
          <w:tcPr>
            <w:tcW w:w="2093" w:type="dxa"/>
            <w:tcBorders>
              <w:top w:val="nil"/>
              <w:left w:val="nil"/>
              <w:bottom w:val="single" w:sz="6" w:space="0" w:color="000000"/>
              <w:right w:val="single" w:sz="6" w:space="0" w:color="000000"/>
            </w:tcBorders>
            <w:noWrap/>
            <w:vAlign w:val="center"/>
          </w:tcPr>
          <w:p>
            <w:pPr>
              <w:jc w:val="center"/>
              <w:rPr>
                <w:rFonts w:ascii="宋体" w:cs="Arial"/>
                <w:color w:val="000000"/>
                <w:sz w:val="22"/>
              </w:rPr>
            </w:pPr>
            <w:r>
              <w:rPr>
                <w:rFonts w:ascii="宋体" w:cs="Arial" w:hint="eastAsia"/>
                <w:color w:val="000000"/>
                <w:sz w:val="22"/>
              </w:rPr>
              <w:t>0.00</w:t>
            </w:r>
          </w:p>
        </w:tc>
      </w:tr>
      <w:tr>
        <w:trPr>
          <w:trHeight w:val="315"/>
        </w:trPr>
        <w:tc>
          <w:tcPr>
            <w:tcW w:w="14176" w:type="dxa"/>
            <w:gridSpan w:val="7"/>
            <w:tcBorders>
              <w:top w:val="nil"/>
              <w:left w:val="nil"/>
              <w:bottom w:val="nil"/>
              <w:right w:val="nil"/>
            </w:tcBorders>
            <w:noWrap/>
            <w:vAlign w:val="center"/>
          </w:tcPr>
          <w:p>
            <w:pPr>
              <w:widowControl/>
              <w:jc w:val="left"/>
              <w:rPr>
                <w:rFonts w:ascii="宋体" w:cs="Arial"/>
                <w:color w:val="000000"/>
                <w:kern w:val="0"/>
                <w:sz w:val="22"/>
              </w:rPr>
            </w:pPr>
            <w:r>
              <w:rPr>
                <w:rFonts w:ascii="宋体" w:cs="Arial" w:hint="eastAsia"/>
                <w:color w:val="000000"/>
                <w:kern w:val="0"/>
                <w:sz w:val="22"/>
              </w:rPr>
              <w:t>注：本表反映部门本年度一般公共预算财政拨款支出情况。</w:t>
            </w:r>
          </w:p>
        </w:tc>
      </w:tr>
    </w:tbl>
    <w:p/>
    <w:p>
      <w:r>
        <w:br w:type="page"/>
      </w:r>
    </w:p>
    <w:tbl>
      <w:tblPr>
        <w:jc w:val="left"/>
        <w:tblInd w:w="-176" w:type="dxa"/>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941"/>
        <w:gridCol w:w="194"/>
        <w:gridCol w:w="1936"/>
        <w:gridCol w:w="615"/>
        <w:gridCol w:w="1560"/>
        <w:gridCol w:w="1003"/>
        <w:gridCol w:w="131"/>
        <w:gridCol w:w="1449"/>
        <w:gridCol w:w="393"/>
        <w:gridCol w:w="1690"/>
        <w:gridCol w:w="770"/>
        <w:gridCol w:w="517"/>
        <w:gridCol w:w="1837"/>
        <w:gridCol w:w="289"/>
        <w:gridCol w:w="1027"/>
      </w:tblGrid>
      <w:tr>
        <w:trPr>
          <w:trHeight w:val="690"/>
        </w:trPr>
        <w:tc>
          <w:tcPr>
            <w:tcW w:w="14352" w:type="dxa"/>
            <w:gridSpan w:val="15"/>
            <w:tcBorders>
              <w:top w:val="nil"/>
              <w:left w:val="nil"/>
              <w:bottom w:val="nil"/>
              <w:right w:val="nil"/>
            </w:tcBorders>
            <w:noWrap/>
            <w:vAlign w:val="bottom"/>
          </w:tcPr>
          <w:p>
            <w:pPr>
              <w:widowControl/>
              <w:jc w:val="center"/>
              <w:rPr>
                <w:rFonts w:ascii="宋体" w:cs="Arial"/>
                <w:color w:val="000000"/>
                <w:kern w:val="0"/>
                <w:sz w:val="30"/>
                <w:szCs w:val="30"/>
              </w:rPr>
            </w:pPr>
            <w:r>
              <w:rPr>
                <w:rFonts w:ascii="宋体" w:cs="Arial" w:hint="eastAsia"/>
                <w:b/>
                <w:color w:val="000000"/>
                <w:kern w:val="0"/>
                <w:sz w:val="44"/>
                <w:szCs w:val="44"/>
              </w:rPr>
              <w:t>一般公共预算财政拨款基本支出决算明细表</w:t>
            </w:r>
          </w:p>
        </w:tc>
      </w:tr>
      <w:tr>
        <w:trPr>
          <w:trHeight w:val="255"/>
        </w:trPr>
        <w:tc>
          <w:tcPr>
            <w:tcW w:w="941"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130" w:type="dxa"/>
            <w:gridSpan w:val="2"/>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175" w:type="dxa"/>
            <w:gridSpan w:val="2"/>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003"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580" w:type="dxa"/>
            <w:gridSpan w:val="2"/>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083" w:type="dxa"/>
            <w:gridSpan w:val="2"/>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70"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354" w:type="dxa"/>
            <w:gridSpan w:val="2"/>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316" w:type="dxa"/>
            <w:gridSpan w:val="2"/>
            <w:tcBorders>
              <w:top w:val="nil"/>
              <w:left w:val="nil"/>
              <w:bottom w:val="nil"/>
              <w:right w:val="nil"/>
            </w:tcBorders>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公开06表</w:t>
            </w:r>
          </w:p>
        </w:tc>
      </w:tr>
      <w:tr>
        <w:trPr>
          <w:trHeight w:val="255"/>
        </w:trPr>
        <w:tc>
          <w:tcPr>
            <w:tcW w:w="3071" w:type="dxa"/>
            <w:gridSpan w:val="3"/>
            <w:tcBorders>
              <w:top w:val="nil"/>
              <w:left w:val="nil"/>
              <w:bottom w:val="single" w:sz="6" w:space="0" w:color="000000"/>
              <w:right w:val="nil"/>
            </w:tcBorders>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部门：重庆海关技术中心</w:t>
            </w:r>
          </w:p>
        </w:tc>
        <w:tc>
          <w:tcPr>
            <w:tcW w:w="2175" w:type="dxa"/>
            <w:gridSpan w:val="2"/>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003"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580" w:type="dxa"/>
            <w:gridSpan w:val="2"/>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083" w:type="dxa"/>
            <w:gridSpan w:val="2"/>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70"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3670" w:type="dxa"/>
            <w:gridSpan w:val="4"/>
            <w:tcBorders>
              <w:top w:val="nil"/>
              <w:left w:val="nil"/>
              <w:bottom w:val="single" w:sz="6" w:space="0" w:color="000000"/>
              <w:right w:val="nil"/>
            </w:tcBorders>
            <w:noWrap/>
            <w:vAlign w:val="bottom"/>
          </w:tcPr>
          <w:p>
            <w:pPr>
              <w:widowControl/>
              <w:jc w:val="right"/>
              <w:rPr>
                <w:rFonts w:ascii="宋体" w:cs="Arial"/>
                <w:color w:val="000000"/>
                <w:kern w:val="0"/>
                <w:sz w:val="18"/>
                <w:szCs w:val="18"/>
              </w:rPr>
            </w:pPr>
            <w:r>
              <w:rPr>
                <w:rFonts w:ascii="宋体" w:cs="Arial" w:hint="eastAsia"/>
                <w:color w:val="000000"/>
                <w:kern w:val="0"/>
                <w:sz w:val="18"/>
                <w:szCs w:val="18"/>
              </w:rPr>
              <w:t>金额单位：万元</w:t>
            </w:r>
          </w:p>
        </w:tc>
      </w:tr>
      <w:tr>
        <w:trPr>
          <w:trHeight w:val="315"/>
        </w:trPr>
        <w:tc>
          <w:tcPr>
            <w:tcW w:w="5246" w:type="dxa"/>
            <w:gridSpan w:val="5"/>
            <w:tcBorders>
              <w:top w:val="single" w:sz="6" w:space="0" w:color="000000"/>
              <w:left w:val="single" w:sz="6" w:space="0" w:color="000000"/>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人员经费</w:t>
            </w:r>
          </w:p>
        </w:tc>
        <w:tc>
          <w:tcPr>
            <w:tcW w:w="9106" w:type="dxa"/>
            <w:gridSpan w:val="10"/>
            <w:tcBorders>
              <w:top w:val="single" w:sz="6" w:space="0" w:color="000000"/>
              <w:left w:val="nil"/>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公用经费</w:t>
            </w:r>
          </w:p>
        </w:tc>
      </w:tr>
      <w:tr>
        <w:trPr>
          <w:trHeight w:val="315"/>
        </w:trPr>
        <w:tc>
          <w:tcPr>
            <w:tcW w:w="1135" w:type="dxa"/>
            <w:gridSpan w:val="2"/>
            <w:vMerge w:val="restart"/>
            <w:tcBorders>
              <w:top w:val="nil"/>
              <w:left w:val="single" w:sz="6" w:space="0" w:color="000000"/>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科目编码</w:t>
            </w:r>
          </w:p>
        </w:tc>
        <w:tc>
          <w:tcPr>
            <w:tcW w:w="2551" w:type="dxa"/>
            <w:gridSpan w:val="2"/>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科目名称</w:t>
            </w:r>
          </w:p>
        </w:tc>
        <w:tc>
          <w:tcPr>
            <w:tcW w:w="1560" w:type="dxa"/>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决算数</w:t>
            </w:r>
          </w:p>
        </w:tc>
        <w:tc>
          <w:tcPr>
            <w:tcW w:w="1134" w:type="dxa"/>
            <w:gridSpan w:val="2"/>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科目编码</w:t>
            </w:r>
          </w:p>
        </w:tc>
        <w:tc>
          <w:tcPr>
            <w:tcW w:w="1842" w:type="dxa"/>
            <w:gridSpan w:val="2"/>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科目名称</w:t>
            </w:r>
          </w:p>
        </w:tc>
        <w:tc>
          <w:tcPr>
            <w:tcW w:w="1690" w:type="dxa"/>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决算数</w:t>
            </w:r>
          </w:p>
        </w:tc>
        <w:tc>
          <w:tcPr>
            <w:tcW w:w="1287" w:type="dxa"/>
            <w:gridSpan w:val="2"/>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科目编码</w:t>
            </w:r>
          </w:p>
        </w:tc>
        <w:tc>
          <w:tcPr>
            <w:tcW w:w="2126" w:type="dxa"/>
            <w:gridSpan w:val="2"/>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科目名称</w:t>
            </w:r>
          </w:p>
        </w:tc>
        <w:tc>
          <w:tcPr>
            <w:tcW w:w="1027" w:type="dxa"/>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决算数</w:t>
            </w:r>
          </w:p>
        </w:tc>
      </w:tr>
      <w:tr>
        <w:trPr>
          <w:trHeight w:val="315"/>
        </w:trPr>
        <w:tc>
          <w:tcPr>
            <w:tcW w:w="1135" w:type="dxa"/>
            <w:gridSpan w:val="2"/>
            <w:vMerge/>
            <w:tcBorders>
              <w:top w:val="nil"/>
              <w:left w:val="single" w:sz="6" w:space="0" w:color="000000"/>
              <w:bottom w:val="single" w:sz="6" w:space="0" w:color="000000"/>
              <w:right w:val="single" w:sz="6" w:space="0" w:color="000000"/>
            </w:tcBorders>
            <w:vAlign w:val="center"/>
          </w:tcPr>
          <w:p/>
        </w:tc>
        <w:tc>
          <w:tcPr>
            <w:tcW w:w="2551" w:type="dxa"/>
            <w:gridSpan w:val="2"/>
            <w:vMerge/>
            <w:tcBorders>
              <w:top w:val="nil"/>
              <w:left w:val="nil"/>
              <w:bottom w:val="single" w:sz="6" w:space="0" w:color="000000"/>
              <w:right w:val="single" w:sz="6" w:space="0" w:color="000000"/>
            </w:tcBorders>
            <w:vAlign w:val="center"/>
          </w:tcPr>
          <w:p/>
        </w:tc>
        <w:tc>
          <w:tcPr>
            <w:tcW w:w="1560" w:type="dxa"/>
            <w:vMerge/>
            <w:tcBorders>
              <w:top w:val="nil"/>
              <w:left w:val="nil"/>
              <w:bottom w:val="single" w:sz="6" w:space="0" w:color="000000"/>
              <w:right w:val="single" w:sz="6" w:space="0" w:color="000000"/>
            </w:tcBorders>
            <w:vAlign w:val="center"/>
          </w:tcPr>
          <w:p/>
        </w:tc>
        <w:tc>
          <w:tcPr>
            <w:tcW w:w="1134" w:type="dxa"/>
            <w:gridSpan w:val="2"/>
            <w:vMerge/>
            <w:tcBorders>
              <w:top w:val="nil"/>
              <w:left w:val="nil"/>
              <w:bottom w:val="single" w:sz="6" w:space="0" w:color="000000"/>
              <w:right w:val="single" w:sz="6" w:space="0" w:color="000000"/>
            </w:tcBorders>
            <w:vAlign w:val="center"/>
          </w:tcPr>
          <w:p/>
        </w:tc>
        <w:tc>
          <w:tcPr>
            <w:tcW w:w="1842" w:type="dxa"/>
            <w:gridSpan w:val="2"/>
            <w:vMerge/>
            <w:tcBorders>
              <w:top w:val="nil"/>
              <w:left w:val="nil"/>
              <w:bottom w:val="single" w:sz="6" w:space="0" w:color="000000"/>
              <w:right w:val="single" w:sz="6" w:space="0" w:color="000000"/>
            </w:tcBorders>
            <w:vAlign w:val="center"/>
          </w:tcPr>
          <w:p/>
        </w:tc>
        <w:tc>
          <w:tcPr>
            <w:tcW w:w="1690" w:type="dxa"/>
            <w:vMerge/>
            <w:tcBorders>
              <w:top w:val="nil"/>
              <w:left w:val="nil"/>
              <w:bottom w:val="single" w:sz="6" w:space="0" w:color="000000"/>
              <w:right w:val="single" w:sz="6" w:space="0" w:color="000000"/>
            </w:tcBorders>
            <w:vAlign w:val="center"/>
          </w:tcPr>
          <w:p/>
        </w:tc>
        <w:tc>
          <w:tcPr>
            <w:tcW w:w="1287" w:type="dxa"/>
            <w:gridSpan w:val="2"/>
            <w:vMerge/>
            <w:tcBorders>
              <w:top w:val="nil"/>
              <w:left w:val="nil"/>
              <w:bottom w:val="single" w:sz="6" w:space="0" w:color="000000"/>
              <w:right w:val="single" w:sz="6" w:space="0" w:color="000000"/>
            </w:tcBorders>
            <w:vAlign w:val="center"/>
          </w:tcPr>
          <w:p/>
        </w:tc>
        <w:tc>
          <w:tcPr>
            <w:tcW w:w="2126" w:type="dxa"/>
            <w:gridSpan w:val="2"/>
            <w:vMerge/>
            <w:tcBorders>
              <w:top w:val="nil"/>
              <w:left w:val="nil"/>
              <w:bottom w:val="single" w:sz="6" w:space="0" w:color="000000"/>
              <w:right w:val="single" w:sz="6" w:space="0" w:color="000000"/>
            </w:tcBorders>
            <w:vAlign w:val="center"/>
          </w:tcPr>
          <w:p/>
        </w:tc>
        <w:tc>
          <w:tcPr>
            <w:tcW w:w="1027" w:type="dxa"/>
            <w:vMerge/>
            <w:tcBorders>
              <w:top w:val="nil"/>
              <w:left w:val="nil"/>
              <w:bottom w:val="single" w:sz="6" w:space="0" w:color="000000"/>
              <w:right w:val="single" w:sz="6" w:space="0" w:color="000000"/>
            </w:tcBorders>
            <w:vAlign w:val="center"/>
          </w:tc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工资福利支出</w:t>
            </w:r>
          </w:p>
        </w:tc>
        <w:tc>
          <w:tcPr>
            <w:tcW w:w="156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hint="eastAsia"/>
                <w:color w:val="000000"/>
                <w:sz w:val="22"/>
              </w:rPr>
              <w:t>402.27</w:t>
            </w: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商品和服务支出</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hint="eastAsia"/>
                <w:color w:val="000000"/>
                <w:sz w:val="22"/>
              </w:rPr>
              <w:t>88.32</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307</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债务利息及费用支出</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30101</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基本工资</w:t>
            </w:r>
          </w:p>
        </w:tc>
        <w:tc>
          <w:tcPr>
            <w:tcW w:w="156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hint="eastAsia"/>
                <w:color w:val="000000"/>
                <w:sz w:val="22"/>
              </w:rPr>
              <w:t>208.12</w:t>
            </w: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30201</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办公费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hint="eastAsia"/>
                <w:color w:val="000000"/>
                <w:sz w:val="22"/>
              </w:rPr>
              <w:t>14.77</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30701</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国内债务付息</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30102</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津贴补贴</w:t>
            </w:r>
          </w:p>
        </w:tc>
        <w:tc>
          <w:tcPr>
            <w:tcW w:w="156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hint="eastAsia"/>
                <w:color w:val="000000"/>
                <w:sz w:val="22"/>
              </w:rPr>
              <w:t>59.15</w:t>
            </w: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30202</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印刷费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hint="eastAsia"/>
                <w:color w:val="000000"/>
                <w:sz w:val="22"/>
              </w:rPr>
              <w:t>5.00</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30702</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国外债务付息</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30103</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奖金</w:t>
            </w:r>
          </w:p>
        </w:tc>
        <w:tc>
          <w:tcPr>
            <w:tcW w:w="1560" w:type="dxa"/>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30203</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咨询费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hint="eastAsia"/>
                <w:color w:val="000000"/>
                <w:sz w:val="22"/>
              </w:rPr>
              <w:t>2.50</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资本性支出</w:t>
            </w:r>
          </w:p>
        </w:tc>
        <w:tc>
          <w:tcPr>
            <w:tcW w:w="1027" w:type="dxa"/>
            <w:tcBorders>
              <w:top w:val="nil"/>
              <w:left w:val="nil"/>
              <w:bottom w:val="single" w:sz="6" w:space="0" w:color="000000"/>
              <w:right w:val="single" w:sz="6" w:space="0" w:color="000000"/>
            </w:tcBorders>
            <w:vAlign w:val="center"/>
          </w:tcPr>
          <w:p>
            <w:pPr>
              <w:jc w:val="right"/>
              <w:rPr>
                <w:rFonts w:ascii="宋体" w:cs="Arial"/>
                <w:color w:val="00000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30106</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伙食补助费</w:t>
            </w:r>
          </w:p>
        </w:tc>
        <w:tc>
          <w:tcPr>
            <w:tcW w:w="1560" w:type="dxa"/>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30204</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手续费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31001</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房屋建筑物购建</w:t>
            </w:r>
          </w:p>
        </w:tc>
        <w:tc>
          <w:tcPr>
            <w:tcW w:w="1027" w:type="dxa"/>
            <w:tcBorders>
              <w:top w:val="nil"/>
              <w:left w:val="nil"/>
              <w:bottom w:val="single" w:sz="6" w:space="0" w:color="000000"/>
              <w:right w:val="single" w:sz="6" w:space="0" w:color="000000"/>
            </w:tcBorders>
            <w:vAlign w:val="center"/>
          </w:tcPr>
          <w:p>
            <w:pPr>
              <w:jc w:val="right"/>
              <w:rPr>
                <w:rFonts w:ascii="宋体" w:cs="Arial"/>
                <w:color w:val="00000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30107</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绩效工资</w:t>
            </w:r>
          </w:p>
        </w:tc>
        <w:tc>
          <w:tcPr>
            <w:tcW w:w="1560" w:type="dxa"/>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30205</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水费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hint="eastAsia"/>
                <w:color w:val="000000"/>
                <w:sz w:val="22"/>
              </w:rPr>
              <w:t>0.14</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31002</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办公设备购置</w:t>
            </w:r>
          </w:p>
        </w:tc>
        <w:tc>
          <w:tcPr>
            <w:tcW w:w="1027" w:type="dxa"/>
            <w:tcBorders>
              <w:top w:val="nil"/>
              <w:left w:val="nil"/>
              <w:bottom w:val="single" w:sz="6" w:space="0" w:color="000000"/>
              <w:right w:val="single" w:sz="6" w:space="0" w:color="000000"/>
            </w:tcBorders>
            <w:vAlign w:val="center"/>
          </w:tcPr>
          <w:p>
            <w:pPr>
              <w:jc w:val="right"/>
              <w:rPr>
                <w:rFonts w:ascii="宋体" w:cs="Arial"/>
                <w:color w:val="000000"/>
                <w:sz w:val="22"/>
              </w:rPr>
            </w:pPr>
          </w:p>
        </w:tc>
      </w:tr>
      <w:tr>
        <w:trPr>
          <w:trHeight w:val="765"/>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30108</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机关事业单位基本养老保险缴费</w:t>
            </w:r>
          </w:p>
        </w:tc>
        <w:tc>
          <w:tcPr>
            <w:tcW w:w="1560" w:type="dxa"/>
            <w:tcBorders>
              <w:top w:val="nil"/>
              <w:left w:val="nil"/>
              <w:bottom w:val="single" w:sz="6" w:space="0" w:color="000000"/>
              <w:right w:val="single" w:sz="6" w:space="0" w:color="000000"/>
            </w:tcBorders>
            <w:vAlign w:val="center"/>
          </w:tcPr>
          <w:p>
            <w:pPr>
              <w:jc w:val="center"/>
              <w:rPr>
                <w:rFonts w:ascii="宋体" w:cs="Arial"/>
                <w:color w:val="00000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30206</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电费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hint="eastAsia"/>
                <w:color w:val="000000"/>
                <w:sz w:val="22"/>
              </w:rPr>
              <w:t>3.76</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31003</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专用设备购置</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30109</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职业年金缴费</w:t>
            </w:r>
          </w:p>
        </w:tc>
        <w:tc>
          <w:tcPr>
            <w:tcW w:w="1560" w:type="dxa"/>
            <w:tcBorders>
              <w:top w:val="nil"/>
              <w:left w:val="nil"/>
              <w:bottom w:val="single" w:sz="6" w:space="0" w:color="000000"/>
              <w:right w:val="single" w:sz="6" w:space="0" w:color="000000"/>
            </w:tcBorders>
            <w:vAlign w:val="center"/>
          </w:tcPr>
          <w:p>
            <w:pPr>
              <w:jc w:val="right"/>
              <w:rPr>
                <w:rFonts w:ascii="宋体" w:cs="Arial"/>
                <w:color w:val="00000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30207</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邮电费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hint="eastAsia"/>
                <w:color w:val="000000"/>
                <w:sz w:val="22"/>
              </w:rPr>
              <w:t>0.98</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31005</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基础设施建设</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30110</w:t>
            </w:r>
          </w:p>
        </w:tc>
        <w:tc>
          <w:tcPr>
            <w:tcW w:w="2551" w:type="dxa"/>
            <w:gridSpan w:val="2"/>
            <w:tcBorders>
              <w:top w:val="nil"/>
              <w:left w:val="nil"/>
              <w:bottom w:val="single" w:sz="6" w:space="0" w:color="000000"/>
              <w:right w:val="single" w:sz="6" w:space="0" w:color="000000"/>
            </w:tcBorders>
            <w:vAlign w:val="center"/>
          </w:tcPr>
          <w:p>
            <w:pPr>
              <w:widowControl/>
              <w:ind w:firstLineChars="200" w:firstLine="440"/>
              <w:jc w:val="left"/>
              <w:rPr>
                <w:rFonts w:ascii="宋体" w:cs="Arial"/>
                <w:color w:val="000000"/>
                <w:kern w:val="0"/>
                <w:sz w:val="22"/>
              </w:rPr>
            </w:pPr>
            <w:r>
              <w:rPr>
                <w:rFonts w:ascii="宋体" w:cs="Arial" w:hint="eastAsia"/>
                <w:color w:val="000000"/>
                <w:kern w:val="0"/>
                <w:sz w:val="22"/>
              </w:rPr>
              <w:t>职工基本医疗保险缴费</w:t>
            </w:r>
          </w:p>
        </w:tc>
        <w:tc>
          <w:tcPr>
            <w:tcW w:w="1560"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30208</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取暖费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31006</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大型修缮</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765"/>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30111</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公务员医疗补助缴费</w:t>
            </w:r>
          </w:p>
        </w:tc>
        <w:tc>
          <w:tcPr>
            <w:tcW w:w="1560" w:type="dxa"/>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30209</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物业管理费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hint="eastAsia"/>
                <w:color w:val="000000"/>
                <w:sz w:val="22"/>
              </w:rPr>
              <w:t>43.00</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31007</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信息网络及软件购置更新</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30112</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其他社会保障缴费</w:t>
            </w:r>
          </w:p>
        </w:tc>
        <w:tc>
          <w:tcPr>
            <w:tcW w:w="1560" w:type="dxa"/>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30211</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差旅费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hint="eastAsia"/>
                <w:color w:val="000000"/>
                <w:sz w:val="22"/>
              </w:rPr>
              <w:t>0.19</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31008</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物资储备</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30113</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住房公积金</w:t>
            </w:r>
          </w:p>
        </w:tc>
        <w:tc>
          <w:tcPr>
            <w:tcW w:w="1560" w:type="dxa"/>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135</w:t>
            </w:r>
            <w:r>
              <w:rPr>
                <w:rFonts w:ascii="宋体" w:cs="Arial"/>
                <w:color w:val="000000"/>
                <w:kern w:val="0"/>
                <w:sz w:val="22"/>
              </w:rPr>
              <w:t>.00</w:t>
            </w: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30212</w:t>
            </w:r>
          </w:p>
        </w:tc>
        <w:tc>
          <w:tcPr>
            <w:tcW w:w="1842" w:type="dxa"/>
            <w:gridSpan w:val="2"/>
            <w:tcBorders>
              <w:top w:val="nil"/>
              <w:left w:val="nil"/>
              <w:bottom w:val="single" w:sz="6" w:space="0" w:color="000000"/>
              <w:right w:val="single" w:sz="6" w:space="0" w:color="000000"/>
            </w:tcBorders>
            <w:vAlign w:val="center"/>
          </w:tcPr>
          <w:p>
            <w:pPr>
              <w:widowControl/>
              <w:ind w:firstLineChars="200" w:firstLine="440"/>
              <w:jc w:val="left"/>
              <w:rPr>
                <w:rFonts w:ascii="宋体" w:cs="Arial"/>
                <w:color w:val="000000"/>
                <w:kern w:val="0"/>
                <w:sz w:val="22"/>
              </w:rPr>
            </w:pPr>
            <w:r>
              <w:rPr>
                <w:rFonts w:ascii="宋体" w:cs="Arial" w:hint="eastAsia"/>
                <w:color w:val="000000"/>
                <w:kern w:val="0"/>
                <w:sz w:val="22"/>
              </w:rPr>
              <w:t>因公出国（境）费用</w:t>
            </w:r>
          </w:p>
        </w:tc>
        <w:tc>
          <w:tcPr>
            <w:tcW w:w="1690" w:type="dxa"/>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31009</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土地补偿</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30114</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医疗费</w:t>
            </w:r>
          </w:p>
        </w:tc>
        <w:tc>
          <w:tcPr>
            <w:tcW w:w="1560" w:type="dxa"/>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30213</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维修（护）费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31010</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安置补助</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765"/>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30199</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其他工资福利支出</w:t>
            </w:r>
          </w:p>
        </w:tc>
        <w:tc>
          <w:tcPr>
            <w:tcW w:w="1560" w:type="dxa"/>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30214</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租赁费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31011</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地上附着物和青苗补偿</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303</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对个人和家庭的补助</w:t>
            </w:r>
          </w:p>
        </w:tc>
        <w:tc>
          <w:tcPr>
            <w:tcW w:w="1560" w:type="dxa"/>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30215</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会议费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31012</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拆迁补偿</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30301</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离休费</w:t>
            </w:r>
          </w:p>
        </w:tc>
        <w:tc>
          <w:tcPr>
            <w:tcW w:w="1560" w:type="dxa"/>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30216</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培训费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31013</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公务用车购置</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30302</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退休费</w:t>
            </w:r>
          </w:p>
        </w:tc>
        <w:tc>
          <w:tcPr>
            <w:tcW w:w="1560"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30217</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公务接待费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31019</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其他交通工具购置</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30303</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退职（役）费</w:t>
            </w:r>
          </w:p>
        </w:tc>
        <w:tc>
          <w:tcPr>
            <w:tcW w:w="1560"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30218</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专用材料费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color w:val="000000"/>
                <w:sz w:val="22"/>
              </w:rPr>
              <w:t>1.35</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31021</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文物和陈列品购置</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30304</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抚恤金</w:t>
            </w:r>
          </w:p>
        </w:tc>
        <w:tc>
          <w:tcPr>
            <w:tcW w:w="1560"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30224</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被装购置费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31022</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无形资产购置</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30305</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生活补助</w:t>
            </w:r>
          </w:p>
        </w:tc>
        <w:tc>
          <w:tcPr>
            <w:tcW w:w="1560"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30225</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专用燃料费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31099</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其他资本性支出</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30306</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救济费</w:t>
            </w:r>
          </w:p>
        </w:tc>
        <w:tc>
          <w:tcPr>
            <w:tcW w:w="1560"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30226</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劳务费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color w:val="000000"/>
                <w:sz w:val="22"/>
              </w:rPr>
              <w:t>0</w:t>
            </w:r>
            <w:r>
              <w:rPr>
                <w:rFonts w:ascii="宋体" w:cs="Arial" w:hint="eastAsia"/>
                <w:color w:val="000000"/>
                <w:sz w:val="22"/>
              </w:rPr>
              <w:t>.77</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399</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其他支出</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30307</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医疗费补助</w:t>
            </w:r>
          </w:p>
        </w:tc>
        <w:tc>
          <w:tcPr>
            <w:tcW w:w="1560"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30227</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委托业务费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39906</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赠与</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30308</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助学金</w:t>
            </w:r>
          </w:p>
        </w:tc>
        <w:tc>
          <w:tcPr>
            <w:tcW w:w="1560"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30228</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工会经费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color w:val="000000"/>
                <w:sz w:val="22"/>
              </w:rPr>
              <w:t>3</w:t>
            </w:r>
            <w:r>
              <w:rPr>
                <w:rFonts w:ascii="宋体" w:cs="Arial" w:hint="eastAsia"/>
                <w:color w:val="000000"/>
                <w:sz w:val="22"/>
              </w:rPr>
              <w:t>.17</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39907</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国家赔偿费用支出</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1005"/>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30309</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奖励金</w:t>
            </w:r>
          </w:p>
        </w:tc>
        <w:tc>
          <w:tcPr>
            <w:tcW w:w="1560"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30229</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福利费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color w:val="000000"/>
                <w:sz w:val="22"/>
              </w:rPr>
              <w:t>1</w:t>
            </w:r>
            <w:r>
              <w:rPr>
                <w:rFonts w:ascii="宋体" w:cs="Arial" w:hint="eastAsia"/>
                <w:color w:val="000000"/>
                <w:sz w:val="22"/>
              </w:rPr>
              <w:t>2.67</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39908</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对民间非营利组织和群众性自治组织补贴</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765"/>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30310</w:t>
            </w: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个人农业生产补贴</w:t>
            </w:r>
          </w:p>
        </w:tc>
        <w:tc>
          <w:tcPr>
            <w:tcW w:w="1560"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30231</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公务用车运行维护费</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39999</w:t>
            </w: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其他支出</w:t>
            </w: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765"/>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30311</w:t>
            </w:r>
          </w:p>
        </w:tc>
        <w:tc>
          <w:tcPr>
            <w:tcW w:w="2551" w:type="dxa"/>
            <w:gridSpan w:val="2"/>
            <w:tcBorders>
              <w:top w:val="nil"/>
              <w:left w:val="nil"/>
              <w:bottom w:val="single" w:sz="6" w:space="0" w:color="000000"/>
              <w:right w:val="single" w:sz="6" w:space="0" w:color="000000"/>
            </w:tcBorders>
            <w:vAlign w:val="center"/>
          </w:tcPr>
          <w:p>
            <w:pPr>
              <w:widowControl/>
              <w:ind w:firstLineChars="200" w:firstLine="440"/>
              <w:jc w:val="left"/>
              <w:rPr>
                <w:rFonts w:ascii="宋体" w:cs="Arial"/>
                <w:color w:val="000000"/>
                <w:kern w:val="0"/>
                <w:sz w:val="22"/>
              </w:rPr>
            </w:pPr>
            <w:r>
              <w:rPr>
                <w:rFonts w:ascii="宋体" w:cs="Arial" w:hint="eastAsia"/>
                <w:color w:val="000000"/>
                <w:kern w:val="0"/>
                <w:sz w:val="22"/>
              </w:rPr>
              <w:t>代缴社会保险费</w:t>
            </w:r>
          </w:p>
        </w:tc>
        <w:tc>
          <w:tcPr>
            <w:tcW w:w="1560"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30239</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  其他交通费用</w:t>
            </w:r>
          </w:p>
        </w:tc>
        <w:tc>
          <w:tcPr>
            <w:tcW w:w="1690" w:type="dxa"/>
            <w:tcBorders>
              <w:top w:val="nil"/>
              <w:left w:val="nil"/>
              <w:bottom w:val="single" w:sz="6" w:space="0" w:color="000000"/>
              <w:right w:val="single" w:sz="6" w:space="0" w:color="000000"/>
            </w:tcBorders>
            <w:vAlign w:val="center"/>
          </w:tcPr>
          <w:p>
            <w:pPr>
              <w:jc w:val="right"/>
              <w:rPr>
                <w:rFonts w:ascii="宋体" w:cs="Arial"/>
                <w:color w:val="00000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510"/>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30399</w:t>
            </w:r>
          </w:p>
        </w:tc>
        <w:tc>
          <w:tcPr>
            <w:tcW w:w="2551" w:type="dxa"/>
            <w:gridSpan w:val="2"/>
            <w:tcBorders>
              <w:top w:val="nil"/>
              <w:left w:val="nil"/>
              <w:bottom w:val="single" w:sz="6" w:space="0" w:color="000000"/>
              <w:right w:val="single" w:sz="6" w:space="0" w:color="000000"/>
            </w:tcBorders>
            <w:vAlign w:val="center"/>
          </w:tcPr>
          <w:p>
            <w:pPr>
              <w:widowControl/>
              <w:ind w:firstLineChars="200" w:firstLine="440"/>
              <w:jc w:val="left"/>
              <w:rPr>
                <w:rFonts w:ascii="宋体" w:cs="Arial"/>
                <w:color w:val="000000"/>
                <w:kern w:val="0"/>
                <w:sz w:val="22"/>
              </w:rPr>
            </w:pPr>
            <w:r>
              <w:rPr>
                <w:rFonts w:ascii="宋体" w:cs="Arial" w:hint="eastAsia"/>
                <w:color w:val="000000"/>
                <w:kern w:val="0"/>
                <w:sz w:val="22"/>
              </w:rPr>
              <w:t>其他对个人和家庭的补助　</w:t>
            </w:r>
          </w:p>
        </w:tc>
        <w:tc>
          <w:tcPr>
            <w:tcW w:w="1560" w:type="dxa"/>
            <w:tcBorders>
              <w:top w:val="nil"/>
              <w:left w:val="nil"/>
              <w:bottom w:val="single" w:sz="6" w:space="0" w:color="000000"/>
              <w:right w:val="single" w:sz="6" w:space="0" w:color="000000"/>
            </w:tcBorders>
            <w:vAlign w:val="center"/>
          </w:tcPr>
          <w:p>
            <w:pPr>
              <w:widowControl/>
              <w:jc w:val="right"/>
              <w:rPr>
                <w:rFonts w:ascii="宋体" w:cs="Arial"/>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kern w:val="0"/>
                <w:sz w:val="22"/>
              </w:rPr>
            </w:pPr>
            <w:r>
              <w:rPr>
                <w:rFonts w:ascii="宋体" w:cs="Arial" w:hint="eastAsia"/>
                <w:kern w:val="0"/>
                <w:sz w:val="22"/>
              </w:rPr>
              <w:t>30240</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税金及附加费用</w:t>
            </w:r>
          </w:p>
        </w:tc>
        <w:tc>
          <w:tcPr>
            <w:tcW w:w="1690" w:type="dxa"/>
            <w:tcBorders>
              <w:top w:val="nil"/>
              <w:left w:val="nil"/>
              <w:bottom w:val="single" w:sz="6" w:space="0" w:color="000000"/>
              <w:right w:val="single" w:sz="6" w:space="0" w:color="000000"/>
            </w:tcBorders>
            <w:vAlign w:val="center"/>
          </w:tcPr>
          <w:p>
            <w:pPr>
              <w:jc w:val="right"/>
              <w:rPr>
                <w:rFonts w:ascii="宋体" w:cs="Arial"/>
                <w:color w:val="000000"/>
                <w:sz w:val="22"/>
              </w:rPr>
            </w:pP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765"/>
        </w:trPr>
        <w:tc>
          <w:tcPr>
            <w:tcW w:w="1135" w:type="dxa"/>
            <w:gridSpan w:val="2"/>
            <w:tcBorders>
              <w:top w:val="nil"/>
              <w:left w:val="single" w:sz="6" w:space="0" w:color="000000"/>
              <w:bottom w:val="single" w:sz="6" w:space="0" w:color="000000"/>
              <w:right w:val="single" w:sz="6" w:space="0" w:color="000000"/>
            </w:tcBorders>
            <w:vAlign w:val="center"/>
          </w:tcPr>
          <w:p>
            <w:pPr>
              <w:widowControl/>
              <w:jc w:val="left"/>
              <w:rPr>
                <w:rFonts w:ascii="宋体" w:cs="Arial"/>
                <w:color w:val="000000"/>
                <w:kern w:val="0"/>
                <w:sz w:val="22"/>
              </w:rPr>
            </w:pPr>
          </w:p>
        </w:tc>
        <w:tc>
          <w:tcPr>
            <w:tcW w:w="2551"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p>
        </w:tc>
        <w:tc>
          <w:tcPr>
            <w:tcW w:w="1560"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c>
          <w:tcPr>
            <w:tcW w:w="1134"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30299</w:t>
            </w:r>
          </w:p>
        </w:tc>
        <w:tc>
          <w:tcPr>
            <w:tcW w:w="1842"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r>
              <w:rPr>
                <w:rFonts w:ascii="宋体" w:cs="Arial" w:hint="eastAsia"/>
                <w:color w:val="000000"/>
                <w:kern w:val="0"/>
                <w:sz w:val="22"/>
              </w:rPr>
              <w:t>其他商品和服务支出</w:t>
            </w:r>
          </w:p>
        </w:tc>
        <w:tc>
          <w:tcPr>
            <w:tcW w:w="1690" w:type="dxa"/>
            <w:tcBorders>
              <w:top w:val="nil"/>
              <w:left w:val="nil"/>
              <w:bottom w:val="single" w:sz="6" w:space="0" w:color="000000"/>
              <w:right w:val="single" w:sz="6" w:space="0" w:color="000000"/>
            </w:tcBorders>
            <w:vAlign w:val="center"/>
          </w:tcPr>
          <w:p>
            <w:pPr>
              <w:jc w:val="center"/>
              <w:rPr>
                <w:rFonts w:ascii="宋体" w:cs="Arial"/>
                <w:color w:val="000000"/>
                <w:sz w:val="22"/>
              </w:rPr>
            </w:pPr>
            <w:r>
              <w:rPr>
                <w:rFonts w:ascii="宋体" w:cs="Arial" w:hint="eastAsia"/>
                <w:color w:val="000000"/>
                <w:sz w:val="22"/>
              </w:rPr>
              <w:t>0.02</w:t>
            </w:r>
          </w:p>
        </w:tc>
        <w:tc>
          <w:tcPr>
            <w:tcW w:w="1287"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p>
        </w:tc>
        <w:tc>
          <w:tcPr>
            <w:tcW w:w="2126" w:type="dxa"/>
            <w:gridSpan w:val="2"/>
            <w:tcBorders>
              <w:top w:val="nil"/>
              <w:left w:val="nil"/>
              <w:bottom w:val="single" w:sz="6" w:space="0" w:color="000000"/>
              <w:right w:val="single" w:sz="6" w:space="0" w:color="000000"/>
            </w:tcBorders>
            <w:vAlign w:val="center"/>
          </w:tcPr>
          <w:p>
            <w:pPr>
              <w:widowControl/>
              <w:jc w:val="left"/>
              <w:rPr>
                <w:rFonts w:ascii="宋体" w:cs="Arial"/>
                <w:color w:val="000000"/>
                <w:kern w:val="0"/>
                <w:sz w:val="22"/>
              </w:rPr>
            </w:pPr>
          </w:p>
        </w:tc>
        <w:tc>
          <w:tcPr>
            <w:tcW w:w="1027" w:type="dxa"/>
            <w:tcBorders>
              <w:top w:val="nil"/>
              <w:left w:val="nil"/>
              <w:bottom w:val="single" w:sz="6" w:space="0" w:color="000000"/>
              <w:right w:val="single" w:sz="6" w:space="0" w:color="000000"/>
            </w:tcBorders>
            <w:vAlign w:val="center"/>
          </w:tcPr>
          <w:p>
            <w:pPr>
              <w:widowControl/>
              <w:jc w:val="right"/>
              <w:rPr>
                <w:rFonts w:ascii="宋体" w:cs="Arial"/>
                <w:color w:val="000000"/>
                <w:kern w:val="0"/>
                <w:sz w:val="22"/>
              </w:rPr>
            </w:pPr>
          </w:p>
        </w:tc>
      </w:tr>
      <w:tr>
        <w:trPr>
          <w:trHeight w:val="255"/>
        </w:trPr>
        <w:tc>
          <w:tcPr>
            <w:tcW w:w="3686" w:type="dxa"/>
            <w:gridSpan w:val="4"/>
            <w:tcBorders>
              <w:top w:val="nil"/>
              <w:left w:val="single" w:sz="6" w:space="0" w:color="000000"/>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人员经费合计</w:t>
            </w:r>
          </w:p>
        </w:tc>
        <w:tc>
          <w:tcPr>
            <w:tcW w:w="1560" w:type="dxa"/>
            <w:tcBorders>
              <w:top w:val="nil"/>
              <w:left w:val="nil"/>
              <w:bottom w:val="single" w:sz="6" w:space="0" w:color="000000"/>
              <w:right w:val="single" w:sz="6" w:space="0" w:color="000000"/>
            </w:tcBorders>
            <w:vAlign w:val="center"/>
          </w:tcPr>
          <w:p>
            <w:pPr>
              <w:widowControl/>
              <w:jc w:val="center"/>
              <w:rPr>
                <w:rFonts w:ascii="宋体" w:cs="Arial"/>
                <w:kern w:val="0"/>
                <w:sz w:val="22"/>
              </w:rPr>
            </w:pPr>
            <w:r>
              <w:rPr>
                <w:rFonts w:ascii="宋体" w:cs="Arial" w:hint="eastAsia"/>
                <w:kern w:val="0"/>
                <w:sz w:val="22"/>
              </w:rPr>
              <w:t>402.27</w:t>
            </w:r>
          </w:p>
        </w:tc>
        <w:tc>
          <w:tcPr>
            <w:tcW w:w="8079" w:type="dxa"/>
            <w:gridSpan w:val="9"/>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公用经费合计</w:t>
            </w:r>
          </w:p>
        </w:tc>
        <w:tc>
          <w:tcPr>
            <w:tcW w:w="1027" w:type="dxa"/>
            <w:tcBorders>
              <w:top w:val="nil"/>
              <w:left w:val="nil"/>
              <w:bottom w:val="single" w:sz="6" w:space="0" w:color="000000"/>
              <w:right w:val="single" w:sz="6" w:space="0" w:color="000000"/>
            </w:tcBorders>
            <w:vAlign w:val="center"/>
          </w:tcPr>
          <w:p>
            <w:pPr>
              <w:widowControl/>
              <w:jc w:val="center"/>
              <w:rPr>
                <w:rFonts w:ascii="宋体" w:cs="Arial"/>
                <w:kern w:val="0"/>
                <w:sz w:val="22"/>
              </w:rPr>
            </w:pPr>
            <w:r>
              <w:rPr>
                <w:rFonts w:ascii="宋体" w:cs="Arial" w:hint="eastAsia"/>
                <w:kern w:val="0"/>
                <w:sz w:val="22"/>
              </w:rPr>
              <w:t>88.32</w:t>
            </w:r>
          </w:p>
        </w:tc>
      </w:tr>
      <w:tr>
        <w:trPr>
          <w:trHeight w:val="315"/>
        </w:trPr>
        <w:tc>
          <w:tcPr>
            <w:tcW w:w="14352" w:type="dxa"/>
            <w:gridSpan w:val="15"/>
            <w:tcBorders>
              <w:top w:val="nil"/>
              <w:left w:val="nil"/>
              <w:bottom w:val="nil"/>
              <w:right w:val="nil"/>
            </w:tcBorders>
            <w:noWrap/>
            <w:vAlign w:val="center"/>
          </w:tcPr>
          <w:p>
            <w:pPr>
              <w:widowControl/>
              <w:jc w:val="left"/>
              <w:rPr>
                <w:rFonts w:ascii="宋体" w:cs="Arial"/>
                <w:kern w:val="0"/>
                <w:sz w:val="22"/>
              </w:rPr>
            </w:pPr>
            <w:r>
              <w:rPr>
                <w:rFonts w:ascii="宋体" w:cs="Arial" w:hint="eastAsia"/>
                <w:kern w:val="0"/>
                <w:sz w:val="22"/>
              </w:rPr>
              <w:t>注：本表反映部门本年度一般公共预算财政拨款基本支出明细情况。</w:t>
            </w:r>
          </w:p>
        </w:tc>
      </w:tr>
    </w:tbl>
    <w:p/>
    <w:p>
      <w:r>
        <w:br w:type="page"/>
      </w:r>
    </w:p>
    <w:tbl>
      <w:tblPr>
        <w:jc w:val="left"/>
        <w:tblW w:w="5000"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2722"/>
        <w:gridCol w:w="4897"/>
        <w:gridCol w:w="1388"/>
        <w:gridCol w:w="953"/>
        <w:gridCol w:w="921"/>
        <w:gridCol w:w="953"/>
        <w:gridCol w:w="1075"/>
        <w:gridCol w:w="1267"/>
      </w:tblGrid>
      <w:tr>
        <w:trPr>
          <w:trHeight w:val="345"/>
        </w:trPr>
        <w:tc>
          <w:tcPr>
            <w:tcW w:w="14176" w:type="dxa"/>
            <w:gridSpan w:val="8"/>
            <w:tcBorders>
              <w:top w:val="nil"/>
              <w:left w:val="nil"/>
              <w:bottom w:val="nil"/>
              <w:right w:val="nil"/>
            </w:tcBorders>
            <w:noWrap/>
            <w:vAlign w:val="bottom"/>
          </w:tcPr>
          <w:p>
            <w:pPr>
              <w:widowControl/>
              <w:jc w:val="center"/>
              <w:rPr>
                <w:rFonts w:ascii="宋体" w:cs="Arial"/>
                <w:b/>
                <w:color w:val="000000"/>
                <w:kern w:val="0"/>
                <w:sz w:val="44"/>
                <w:szCs w:val="44"/>
              </w:rPr>
            </w:pPr>
            <w:r>
              <w:rPr>
                <w:rFonts w:ascii="宋体" w:cs="Arial" w:hint="eastAsia"/>
                <w:b/>
                <w:color w:val="000000"/>
                <w:kern w:val="0"/>
                <w:sz w:val="44"/>
                <w:szCs w:val="44"/>
              </w:rPr>
              <w:t>政府性基金预算财政拨款收入支出决算表</w:t>
            </w:r>
          </w:p>
          <w:p>
            <w:pPr>
              <w:widowControl/>
              <w:jc w:val="center"/>
              <w:rPr>
                <w:rFonts w:ascii="宋体" w:cs="Arial"/>
                <w:color w:val="000000"/>
                <w:kern w:val="0"/>
                <w:sz w:val="20"/>
                <w:szCs w:val="20"/>
              </w:rPr>
            </w:pPr>
            <w:r>
              <w:rPr>
                <w:rFonts w:ascii="宋体" w:cs="Arial" w:hint="eastAsia"/>
                <w:color w:val="000000"/>
                <w:kern w:val="0"/>
                <w:sz w:val="20"/>
                <w:szCs w:val="20"/>
              </w:rPr>
              <w:t xml:space="preserve">                                                                                                                        公开07表</w:t>
            </w:r>
          </w:p>
          <w:p>
            <w:pPr>
              <w:widowControl/>
              <w:jc w:val="left"/>
              <w:rPr>
                <w:rFonts w:ascii="宋体" w:cs="Arial"/>
                <w:color w:val="000000"/>
                <w:kern w:val="0"/>
                <w:sz w:val="30"/>
                <w:szCs w:val="30"/>
              </w:rPr>
            </w:pPr>
            <w:r>
              <w:rPr>
                <w:rFonts w:ascii="宋体" w:cs="Arial" w:hint="eastAsia"/>
                <w:color w:val="000000"/>
                <w:kern w:val="0"/>
                <w:sz w:val="20"/>
                <w:szCs w:val="20"/>
              </w:rPr>
              <w:t>部门：重庆海关技术中心                                                                                                       金额单位：万元</w:t>
            </w:r>
          </w:p>
        </w:tc>
      </w:tr>
      <w:tr>
        <w:trPr>
          <w:trHeight w:val="315"/>
        </w:trPr>
        <w:tc>
          <w:tcPr>
            <w:tcW w:w="7619" w:type="dxa"/>
            <w:gridSpan w:val="2"/>
            <w:tcBorders>
              <w:top w:val="single" w:sz="6" w:space="0" w:color="000000"/>
              <w:left w:val="single" w:sz="6" w:space="0" w:color="000000"/>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项目</w:t>
            </w:r>
          </w:p>
        </w:tc>
        <w:tc>
          <w:tcPr>
            <w:tcW w:w="1388" w:type="dxa"/>
            <w:vMerge w:val="restart"/>
            <w:tcBorders>
              <w:top w:val="single" w:sz="6" w:space="0" w:color="000000"/>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年初结转和结余</w:t>
            </w:r>
          </w:p>
        </w:tc>
        <w:tc>
          <w:tcPr>
            <w:tcW w:w="953" w:type="dxa"/>
            <w:vMerge w:val="restart"/>
            <w:tcBorders>
              <w:top w:val="single" w:sz="6" w:space="0" w:color="000000"/>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本年收入</w:t>
            </w:r>
          </w:p>
        </w:tc>
        <w:tc>
          <w:tcPr>
            <w:tcW w:w="2949" w:type="dxa"/>
            <w:gridSpan w:val="3"/>
            <w:tcBorders>
              <w:top w:val="single" w:sz="6" w:space="0" w:color="000000"/>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本年支出</w:t>
            </w:r>
          </w:p>
        </w:tc>
        <w:tc>
          <w:tcPr>
            <w:tcW w:w="1267" w:type="dxa"/>
            <w:vMerge w:val="restart"/>
            <w:tcBorders>
              <w:top w:val="single" w:sz="6" w:space="0" w:color="000000"/>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年末结转和结余</w:t>
            </w:r>
          </w:p>
        </w:tc>
      </w:tr>
      <w:tr>
        <w:trPr>
          <w:trHeight w:val="315"/>
        </w:trPr>
        <w:tc>
          <w:tcPr>
            <w:tcW w:w="2722" w:type="dxa"/>
            <w:vMerge w:val="restart"/>
            <w:tcBorders>
              <w:top w:val="nil"/>
              <w:left w:val="single" w:sz="6" w:space="0" w:color="000000"/>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功能分类科目编码</w:t>
            </w:r>
          </w:p>
        </w:tc>
        <w:tc>
          <w:tcPr>
            <w:tcW w:w="4897" w:type="dxa"/>
            <w:vMerge w:val="restart"/>
            <w:tcBorders>
              <w:top w:val="nil"/>
              <w:left w:val="nil"/>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科目名称</w:t>
            </w:r>
          </w:p>
        </w:tc>
        <w:tc>
          <w:tcPr>
            <w:tcW w:w="1388"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小计</w:t>
            </w:r>
          </w:p>
        </w:tc>
        <w:tc>
          <w:tcPr>
            <w:tcW w:w="953" w:type="dxa"/>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基本支出</w:t>
            </w:r>
          </w:p>
        </w:tc>
        <w:tc>
          <w:tcPr>
            <w:tcW w:w="1075" w:type="dxa"/>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项目支出</w:t>
            </w:r>
          </w:p>
        </w:tc>
        <w:tc>
          <w:tcPr>
            <w:tcW w:w="1267" w:type="dxa"/>
            <w:vMerge/>
            <w:tcBorders>
              <w:top w:val="single" w:sz="6" w:space="0" w:color="000000"/>
              <w:left w:val="nil"/>
              <w:bottom w:val="single" w:sz="6" w:space="0" w:color="000000"/>
              <w:right w:val="single" w:sz="6" w:space="0" w:color="000000"/>
            </w:tcBorders>
            <w:vAlign w:val="center"/>
          </w:tcPr>
          <w:p/>
        </w:tc>
      </w:tr>
      <w:tr>
        <w:trPr>
          <w:trHeight w:val="315"/>
        </w:trPr>
        <w:tc>
          <w:tcPr>
            <w:tcW w:w="2722" w:type="dxa"/>
            <w:vMerge/>
            <w:tcBorders>
              <w:top w:val="nil"/>
              <w:left w:val="single" w:sz="6" w:space="0" w:color="000000"/>
              <w:bottom w:val="single" w:sz="6" w:space="0" w:color="000000"/>
              <w:right w:val="single" w:sz="6" w:space="0" w:color="000000"/>
            </w:tcBorders>
            <w:vAlign w:val="center"/>
          </w:tcPr>
          <w:p/>
        </w:tc>
        <w:tc>
          <w:tcPr>
            <w:tcW w:w="4897" w:type="dxa"/>
            <w:vMerge/>
            <w:tcBorders>
              <w:top w:val="nil"/>
              <w:left w:val="nil"/>
              <w:bottom w:val="single" w:sz="6" w:space="0" w:color="000000"/>
              <w:right w:val="single" w:sz="6" w:space="0" w:color="000000"/>
            </w:tcBorders>
            <w:vAlign w:val="center"/>
          </w:tcPr>
          <w:p/>
        </w:tc>
        <w:tc>
          <w:tcPr>
            <w:tcW w:w="1388"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tcBorders>
              <w:top w:val="nil"/>
              <w:left w:val="nil"/>
              <w:bottom w:val="single" w:sz="6" w:space="0" w:color="000000"/>
              <w:right w:val="single" w:sz="6" w:space="0" w:color="000000"/>
            </w:tcBorders>
            <w:vAlign w:val="center"/>
          </w:tcPr>
          <w:p/>
        </w:tc>
        <w:tc>
          <w:tcPr>
            <w:tcW w:w="953" w:type="dxa"/>
            <w:vMerge/>
            <w:tcBorders>
              <w:top w:val="nil"/>
              <w:left w:val="nil"/>
              <w:bottom w:val="single" w:sz="6" w:space="0" w:color="000000"/>
              <w:right w:val="single" w:sz="6" w:space="0" w:color="000000"/>
            </w:tcBorders>
            <w:vAlign w:val="center"/>
          </w:tcPr>
          <w:p/>
        </w:tc>
        <w:tc>
          <w:tcPr>
            <w:tcW w:w="1075" w:type="dxa"/>
            <w:vMerge/>
            <w:tcBorders>
              <w:top w:val="nil"/>
              <w:left w:val="nil"/>
              <w:bottom w:val="single" w:sz="6" w:space="0" w:color="000000"/>
              <w:right w:val="single" w:sz="6" w:space="0" w:color="000000"/>
            </w:tcBorders>
            <w:vAlign w:val="center"/>
          </w:tcPr>
          <w:p/>
        </w:tc>
        <w:tc>
          <w:tcPr>
            <w:tcW w:w="1267" w:type="dxa"/>
            <w:vMerge/>
            <w:tcBorders>
              <w:top w:val="single" w:sz="6" w:space="0" w:color="000000"/>
              <w:left w:val="nil"/>
              <w:bottom w:val="single" w:sz="6" w:space="0" w:color="000000"/>
              <w:right w:val="single" w:sz="6" w:space="0" w:color="000000"/>
            </w:tcBorders>
            <w:vAlign w:val="center"/>
          </w:tcPr>
          <w:p/>
        </w:tc>
      </w:tr>
      <w:tr>
        <w:trPr>
          <w:trHeight w:val="315"/>
        </w:trPr>
        <w:tc>
          <w:tcPr>
            <w:tcW w:w="2722" w:type="dxa"/>
            <w:vMerge/>
            <w:tcBorders>
              <w:top w:val="nil"/>
              <w:left w:val="single" w:sz="6" w:space="0" w:color="000000"/>
              <w:bottom w:val="single" w:sz="6" w:space="0" w:color="000000"/>
              <w:right w:val="single" w:sz="6" w:space="0" w:color="000000"/>
            </w:tcBorders>
            <w:vAlign w:val="center"/>
          </w:tcPr>
          <w:p/>
        </w:tc>
        <w:tc>
          <w:tcPr>
            <w:tcW w:w="4897" w:type="dxa"/>
            <w:vMerge/>
            <w:tcBorders>
              <w:top w:val="nil"/>
              <w:left w:val="nil"/>
              <w:bottom w:val="single" w:sz="6" w:space="0" w:color="000000"/>
              <w:right w:val="single" w:sz="6" w:space="0" w:color="000000"/>
            </w:tcBorders>
            <w:vAlign w:val="center"/>
          </w:tcPr>
          <w:p/>
        </w:tc>
        <w:tc>
          <w:tcPr>
            <w:tcW w:w="1388"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tcBorders>
              <w:top w:val="nil"/>
              <w:left w:val="nil"/>
              <w:bottom w:val="single" w:sz="6" w:space="0" w:color="000000"/>
              <w:right w:val="single" w:sz="6" w:space="0" w:color="000000"/>
            </w:tcBorders>
            <w:vAlign w:val="center"/>
          </w:tcPr>
          <w:p/>
        </w:tc>
        <w:tc>
          <w:tcPr>
            <w:tcW w:w="953" w:type="dxa"/>
            <w:vMerge/>
            <w:tcBorders>
              <w:top w:val="nil"/>
              <w:left w:val="nil"/>
              <w:bottom w:val="single" w:sz="6" w:space="0" w:color="000000"/>
              <w:right w:val="single" w:sz="6" w:space="0" w:color="000000"/>
            </w:tcBorders>
            <w:vAlign w:val="center"/>
          </w:tcPr>
          <w:p/>
        </w:tc>
        <w:tc>
          <w:tcPr>
            <w:tcW w:w="1075" w:type="dxa"/>
            <w:vMerge/>
            <w:tcBorders>
              <w:top w:val="nil"/>
              <w:left w:val="nil"/>
              <w:bottom w:val="single" w:sz="6" w:space="0" w:color="000000"/>
              <w:right w:val="single" w:sz="6" w:space="0" w:color="000000"/>
            </w:tcBorders>
            <w:vAlign w:val="center"/>
          </w:tcPr>
          <w:p/>
        </w:tc>
        <w:tc>
          <w:tcPr>
            <w:tcW w:w="1267" w:type="dxa"/>
            <w:vMerge/>
            <w:tcBorders>
              <w:top w:val="single" w:sz="6" w:space="0" w:color="000000"/>
              <w:left w:val="nil"/>
              <w:bottom w:val="single" w:sz="6" w:space="0" w:color="000000"/>
              <w:right w:val="single" w:sz="6" w:space="0" w:color="000000"/>
            </w:tcBorders>
            <w:vAlign w:val="center"/>
          </w:tcPr>
          <w:p/>
        </w:tc>
      </w:tr>
      <w:tr>
        <w:trPr>
          <w:trHeight w:val="315"/>
        </w:trPr>
        <w:tc>
          <w:tcPr>
            <w:tcW w:w="7619" w:type="dxa"/>
            <w:gridSpan w:val="2"/>
            <w:tcBorders>
              <w:top w:val="nil"/>
              <w:left w:val="single" w:sz="6" w:space="0" w:color="000000"/>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栏次</w:t>
            </w:r>
          </w:p>
        </w:tc>
        <w:tc>
          <w:tcPr>
            <w:tcW w:w="1388" w:type="dxa"/>
            <w:tcBorders>
              <w:top w:val="nil"/>
              <w:left w:val="nil"/>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1</w:t>
            </w:r>
          </w:p>
        </w:tc>
        <w:tc>
          <w:tcPr>
            <w:tcW w:w="953" w:type="dxa"/>
            <w:tcBorders>
              <w:top w:val="nil"/>
              <w:left w:val="nil"/>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2</w:t>
            </w:r>
          </w:p>
        </w:tc>
        <w:tc>
          <w:tcPr>
            <w:tcW w:w="921" w:type="dxa"/>
            <w:tcBorders>
              <w:top w:val="nil"/>
              <w:left w:val="nil"/>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3</w:t>
            </w:r>
          </w:p>
        </w:tc>
        <w:tc>
          <w:tcPr>
            <w:tcW w:w="953" w:type="dxa"/>
            <w:tcBorders>
              <w:top w:val="nil"/>
              <w:left w:val="nil"/>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4</w:t>
            </w:r>
          </w:p>
        </w:tc>
        <w:tc>
          <w:tcPr>
            <w:tcW w:w="1075" w:type="dxa"/>
            <w:tcBorders>
              <w:top w:val="nil"/>
              <w:left w:val="nil"/>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5</w:t>
            </w:r>
          </w:p>
        </w:tc>
        <w:tc>
          <w:tcPr>
            <w:tcW w:w="1267" w:type="dxa"/>
            <w:tcBorders>
              <w:top w:val="nil"/>
              <w:left w:val="nil"/>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6</w:t>
            </w:r>
          </w:p>
        </w:tc>
      </w:tr>
      <w:tr>
        <w:trPr>
          <w:trHeight w:val="315"/>
        </w:trPr>
        <w:tc>
          <w:tcPr>
            <w:tcW w:w="7619" w:type="dxa"/>
            <w:gridSpan w:val="2"/>
            <w:tcBorders>
              <w:top w:val="nil"/>
              <w:left w:val="single" w:sz="6" w:space="0" w:color="000000"/>
              <w:bottom w:val="single" w:sz="6" w:space="0" w:color="000000"/>
              <w:right w:val="single" w:sz="6" w:space="0" w:color="000000"/>
            </w:tcBorders>
            <w:noWrap/>
            <w:vAlign w:val="center"/>
          </w:tcPr>
          <w:p>
            <w:pPr>
              <w:widowControl/>
              <w:jc w:val="center"/>
              <w:rPr>
                <w:rFonts w:ascii="宋体" w:cs="Arial"/>
                <w:color w:val="000000"/>
                <w:kern w:val="0"/>
                <w:sz w:val="22"/>
              </w:rPr>
            </w:pPr>
            <w:r>
              <w:rPr>
                <w:rFonts w:ascii="宋体" w:cs="Arial" w:hint="eastAsia"/>
                <w:color w:val="000000"/>
                <w:kern w:val="0"/>
                <w:sz w:val="22"/>
              </w:rPr>
              <w:t>合计</w:t>
            </w:r>
          </w:p>
        </w:tc>
        <w:tc>
          <w:tcPr>
            <w:tcW w:w="1388"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rPr>
            </w:pP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rPr>
            </w:pPr>
          </w:p>
        </w:tc>
        <w:tc>
          <w:tcPr>
            <w:tcW w:w="1075"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rPr>
            </w:pPr>
          </w:p>
        </w:tc>
        <w:tc>
          <w:tcPr>
            <w:tcW w:w="1267"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rPr>
            </w:pPr>
          </w:p>
        </w:tc>
      </w:tr>
      <w:tr>
        <w:trPr>
          <w:trHeight w:val="315"/>
        </w:trPr>
        <w:tc>
          <w:tcPr>
            <w:tcW w:w="2722" w:type="dxa"/>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rPr>
            </w:pPr>
          </w:p>
        </w:tc>
        <w:tc>
          <w:tcPr>
            <w:tcW w:w="4897"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rPr>
            </w:pPr>
          </w:p>
        </w:tc>
        <w:tc>
          <w:tcPr>
            <w:tcW w:w="1388"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1075"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1267"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r>
      <w:tr>
        <w:trPr>
          <w:trHeight w:val="315"/>
        </w:trPr>
        <w:tc>
          <w:tcPr>
            <w:tcW w:w="2722" w:type="dxa"/>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rPr>
            </w:pPr>
          </w:p>
        </w:tc>
        <w:tc>
          <w:tcPr>
            <w:tcW w:w="4897"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rPr>
            </w:pPr>
          </w:p>
        </w:tc>
        <w:tc>
          <w:tcPr>
            <w:tcW w:w="1388"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1075"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1267"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r>
      <w:tr>
        <w:trPr>
          <w:trHeight w:val="315"/>
        </w:trPr>
        <w:tc>
          <w:tcPr>
            <w:tcW w:w="2722" w:type="dxa"/>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rPr>
            </w:pPr>
          </w:p>
        </w:tc>
        <w:tc>
          <w:tcPr>
            <w:tcW w:w="4897"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1388"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1075"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W w:w="1267"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r>
      <w:tr>
        <w:trPr>
          <w:trHeight w:val="315"/>
        </w:trPr>
        <w:tc>
          <w:tcPr>
            <w:tcW w:w="2722" w:type="dxa"/>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4897"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1388"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1075"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1267"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r>
              <w:rPr>
                <w:rFonts w:ascii="宋体" w:cs="Arial" w:hint="eastAsia"/>
                <w:color w:val="000000"/>
                <w:kern w:val="0"/>
                <w:sz w:val="22"/>
              </w:rPr>
              <w:t>　</w:t>
            </w:r>
          </w:p>
        </w:tc>
      </w:tr>
      <w:tr>
        <w:trPr>
          <w:trHeight w:val="315"/>
        </w:trPr>
        <w:tc>
          <w:tcPr>
            <w:tcW w:w="14176" w:type="dxa"/>
            <w:gridSpan w:val="8"/>
            <w:tcBorders>
              <w:top w:val="nil"/>
              <w:left w:val="nil"/>
              <w:bottom w:val="nil"/>
              <w:right w:val="nil"/>
            </w:tcBorders>
            <w:noWrap/>
            <w:vAlign w:val="center"/>
          </w:tcPr>
          <w:p>
            <w:pPr>
              <w:widowControl/>
              <w:jc w:val="left"/>
              <w:rPr>
                <w:rFonts w:ascii="宋体" w:cs="Arial"/>
                <w:color w:val="000000"/>
                <w:kern w:val="0"/>
                <w:sz w:val="22"/>
              </w:rPr>
            </w:pPr>
            <w:r>
              <w:rPr>
                <w:rFonts w:ascii="宋体" w:cs="Arial" w:hint="eastAsia"/>
                <w:color w:val="000000"/>
                <w:kern w:val="0"/>
                <w:sz w:val="22"/>
              </w:rPr>
              <w:t>注：本表反映部门本年度政府性基金预算财政拨款收入、支出及结转和结余情况。</w:t>
            </w:r>
          </w:p>
        </w:tc>
      </w:tr>
    </w:tbl>
    <w:p/>
    <w:p>
      <w:pPr>
        <w:rPr>
          <w:b/>
          <w:sz w:val="28"/>
          <w:szCs w:val="28"/>
        </w:rPr>
      </w:pPr>
      <w:r>
        <w:rPr>
          <w:rFonts w:hint="eastAsia"/>
          <w:b/>
          <w:sz w:val="28"/>
          <w:szCs w:val="28"/>
        </w:rPr>
        <w:t>说明：</w:t>
      </w:r>
      <w:r>
        <w:rPr>
          <w:rFonts w:hint="eastAsia"/>
          <w:b/>
          <w:kern w:val="0"/>
          <w:sz w:val="28"/>
          <w:szCs w:val="28"/>
        </w:rPr>
        <w:t>重庆海关技术中心</w:t>
      </w:r>
      <w:r>
        <w:rPr>
          <w:rFonts w:hint="eastAsia"/>
          <w:b/>
          <w:sz w:val="28"/>
          <w:szCs w:val="28"/>
        </w:rPr>
        <w:t>没有政府性基金收入，也没有使用政府性基金安排的支出，故本表无数据。</w:t>
      </w:r>
    </w:p>
    <w:p/>
    <w:p/>
    <w:p/>
    <w:p/>
    <w:p/>
    <w:p/>
    <w:p/>
    <w:p/>
    <w:p/>
    <w:p/>
    <w:tbl>
      <w:tblPr>
        <w:jc w:val="left"/>
        <w:tblW w:w="5000"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1020"/>
        <w:gridCol w:w="1322"/>
        <w:gridCol w:w="3346"/>
        <w:gridCol w:w="952"/>
        <w:gridCol w:w="668"/>
        <w:gridCol w:w="1012"/>
        <w:gridCol w:w="2048"/>
        <w:gridCol w:w="3808"/>
      </w:tblGrid>
      <w:tr>
        <w:trPr>
          <w:trHeight w:val="345"/>
        </w:trPr>
        <w:tc>
          <w:tcPr>
            <w:tcW w:w="14176" w:type="dxa"/>
            <w:gridSpan w:val="8"/>
            <w:tcBorders>
              <w:top w:val="nil"/>
              <w:left w:val="nil"/>
              <w:bottom w:val="nil"/>
              <w:right w:val="nil"/>
            </w:tcBorders>
            <w:noWrap/>
            <w:vAlign w:val="bottom"/>
          </w:tcPr>
          <w:p>
            <w:pPr>
              <w:widowControl/>
              <w:jc w:val="center"/>
              <w:rPr>
                <w:rFonts w:ascii="宋体" w:cs="Arial"/>
                <w:color w:val="000000"/>
                <w:kern w:val="0"/>
                <w:sz w:val="30"/>
                <w:szCs w:val="30"/>
              </w:rPr>
            </w:pPr>
          </w:p>
          <w:p>
            <w:pPr>
              <w:widowControl/>
              <w:jc w:val="center"/>
              <w:rPr>
                <w:rFonts w:ascii="宋体" w:cs="Arial"/>
                <w:color w:val="000000"/>
                <w:kern w:val="0"/>
                <w:sz w:val="30"/>
                <w:szCs w:val="30"/>
              </w:rPr>
            </w:pPr>
            <w:r>
              <w:rPr>
                <w:rFonts w:ascii="宋体" w:cs="Arial" w:hint="eastAsia"/>
                <w:b/>
                <w:color w:val="000000"/>
                <w:kern w:val="0"/>
                <w:sz w:val="44"/>
                <w:szCs w:val="44"/>
              </w:rPr>
              <w:t>国有资本经营预算财政拨款支出决算表</w:t>
            </w:r>
          </w:p>
        </w:tc>
      </w:tr>
      <w:tr>
        <w:trPr>
          <w:trHeight w:val="255"/>
          <w:gridAfter w:val="6"/>
          <w:wAfter w:w="11834" w:type="dxa"/>
        </w:trPr>
        <w:tc>
          <w:tcPr>
            <w:tcW w:w="2342" w:type="dxa"/>
            <w:gridSpan w:val="2"/>
            <w:tcBorders>
              <w:top w:val="nil"/>
              <w:left w:val="nil"/>
              <w:bottom w:val="nil"/>
              <w:right w:val="nil"/>
            </w:tcBorders>
            <w:noWrap/>
            <w:vAlign w:val="bottom"/>
          </w:tcPr>
          <w:p>
            <w:pPr>
              <w:widowControl/>
              <w:wordWrap w:val="0"/>
              <w:jc w:val="right"/>
              <w:rPr>
                <w:rFonts w:ascii="宋体" w:cs="Arial"/>
                <w:color w:val="000000"/>
                <w:kern w:val="0"/>
                <w:sz w:val="20"/>
                <w:szCs w:val="20"/>
              </w:rPr>
            </w:pPr>
            <w:r>
              <w:rPr>
                <w:rFonts w:ascii="宋体" w:cs="Arial" w:hint="eastAsia"/>
                <w:color w:val="000000"/>
                <w:kern w:val="0"/>
                <w:sz w:val="20"/>
                <w:szCs w:val="20"/>
              </w:rPr>
              <w:t xml:space="preserve">                        </w:t>
            </w:r>
          </w:p>
        </w:tc>
      </w:tr>
      <w:tr>
        <w:trPr>
          <w:trHeight w:val="255"/>
        </w:trPr>
        <w:tc>
          <w:tcPr>
            <w:tcW w:w="5688" w:type="dxa"/>
            <w:gridSpan w:val="3"/>
            <w:tcBorders>
              <w:top w:val="nil"/>
              <w:left w:val="nil"/>
              <w:bottom w:val="nil"/>
              <w:right w:val="nil"/>
            </w:tcBorders>
            <w:shd w:val="clear" w:color="auto" w:fill="auto"/>
            <w:noWrap/>
            <w:vAlign w:val="bottom"/>
          </w:tcPr>
          <w:p>
            <w:pPr>
              <w:widowControl/>
              <w:ind w:firstLineChars="100" w:firstLine="200"/>
              <w:jc w:val="left"/>
              <w:rPr>
                <w:rFonts w:ascii="宋体" w:cs="Arial"/>
                <w:color w:val="000000"/>
                <w:kern w:val="0"/>
                <w:sz w:val="20"/>
                <w:szCs w:val="20"/>
              </w:rPr>
            </w:pPr>
            <w:r>
              <w:rPr>
                <w:rFonts w:ascii="宋体" w:cs="Arial" w:hint="eastAsia"/>
                <w:color w:val="000000"/>
                <w:kern w:val="0"/>
                <w:sz w:val="20"/>
                <w:szCs w:val="20"/>
              </w:rPr>
              <w:t>部门：重庆海关技术中心</w:t>
            </w:r>
          </w:p>
        </w:tc>
        <w:tc>
          <w:tcPr>
            <w:tcW w:w="952"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680" w:type="dxa"/>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856" w:type="dxa"/>
            <w:gridSpan w:val="2"/>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公开08表</w:t>
            </w:r>
          </w:p>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08"/>
        </w:trPr>
        <w:tc>
          <w:tcPr>
            <w:tcW w:w="5688" w:type="dxa"/>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项目</w:t>
            </w:r>
          </w:p>
        </w:tc>
        <w:tc>
          <w:tcPr>
            <w:tcW w:w="8488" w:type="dxa"/>
            <w:gridSpan w:val="5"/>
            <w:tcBorders>
              <w:top w:val="single" w:sz="4" w:space="0" w:color="000000"/>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rPr>
            </w:pPr>
            <w:r>
              <w:rPr>
                <w:rFonts w:ascii="宋体" w:cs="Arial" w:hint="eastAsia"/>
                <w:color w:val="000000"/>
                <w:kern w:val="0"/>
                <w:sz w:val="22"/>
              </w:rPr>
              <w:t>本年支出</w:t>
            </w:r>
          </w:p>
        </w:tc>
      </w:tr>
      <w:tr>
        <w:trPr>
          <w:trHeight w:val="312"/>
        </w:trPr>
        <w:tc>
          <w:tcPr>
            <w:tcW w:w="1020" w:type="dxa"/>
            <w:vMerge w:val="restart"/>
            <w:tcBorders>
              <w:top w:val="nil"/>
              <w:left w:val="single" w:sz="4" w:space="0" w:color="000000"/>
              <w:bottom w:val="single" w:sz="4" w:space="0" w:color="000000"/>
              <w:right w:val="single" w:sz="4" w:space="0" w:color="000000"/>
            </w:tcBorders>
            <w:shd w:val="clear" w:color="auto" w:fill="FFFFFF"/>
            <w:vAlign w:val="center"/>
          </w:tcPr>
          <w:p>
            <w:pPr>
              <w:widowControl/>
              <w:jc w:val="center"/>
              <w:rPr>
                <w:rFonts w:ascii="宋体" w:cs="Arial"/>
                <w:color w:val="000000"/>
                <w:kern w:val="0"/>
                <w:sz w:val="22"/>
              </w:rPr>
            </w:pPr>
            <w:r>
              <w:rPr>
                <w:rFonts w:ascii="宋体" w:cs="Arial" w:hint="eastAsia"/>
                <w:color w:val="000000"/>
                <w:kern w:val="0"/>
                <w:sz w:val="22"/>
              </w:rPr>
              <w:t>功能分类科目编码</w:t>
            </w:r>
          </w:p>
        </w:tc>
        <w:tc>
          <w:tcPr>
            <w:tcW w:w="4668" w:type="dxa"/>
            <w:gridSpan w:val="2"/>
            <w:vMerge w:val="restart"/>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科目名称</w:t>
            </w:r>
          </w:p>
        </w:tc>
        <w:tc>
          <w:tcPr>
            <w:tcW w:w="1620" w:type="dxa"/>
            <w:gridSpan w:val="2"/>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rPr>
            </w:pPr>
            <w:r>
              <w:rPr>
                <w:rFonts w:ascii="宋体" w:cs="Arial" w:hint="eastAsia"/>
                <w:color w:val="000000"/>
                <w:kern w:val="0"/>
                <w:sz w:val="22"/>
              </w:rPr>
              <w:t>合计</w:t>
            </w:r>
          </w:p>
        </w:tc>
        <w:tc>
          <w:tcPr>
            <w:tcW w:w="3060" w:type="dxa"/>
            <w:gridSpan w:val="2"/>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rPr>
            </w:pPr>
            <w:r>
              <w:rPr>
                <w:rFonts w:ascii="宋体" w:cs="Arial" w:hint="eastAsia"/>
                <w:color w:val="000000"/>
                <w:kern w:val="0"/>
                <w:sz w:val="22"/>
              </w:rPr>
              <w:t>基本支出</w:t>
            </w:r>
          </w:p>
        </w:tc>
        <w:tc>
          <w:tcPr>
            <w:tcW w:w="3808" w:type="dxa"/>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rPr>
            </w:pPr>
            <w:r>
              <w:rPr>
                <w:rFonts w:ascii="宋体" w:cs="Arial" w:hint="eastAsia"/>
                <w:color w:val="000000"/>
                <w:kern w:val="0"/>
                <w:sz w:val="22"/>
              </w:rPr>
              <w:t>项目支出</w:t>
            </w:r>
          </w:p>
        </w:tc>
      </w:tr>
      <w:tr>
        <w:trPr>
          <w:trHeight w:val="312"/>
        </w:trPr>
        <w:tc>
          <w:tcPr>
            <w:tcW w:w="1020" w:type="dxa"/>
            <w:vMerge/>
            <w:tcBorders>
              <w:top w:val="nil"/>
              <w:left w:val="single" w:sz="4" w:space="0" w:color="000000"/>
              <w:bottom w:val="single" w:sz="4" w:space="0" w:color="000000"/>
              <w:right w:val="single" w:sz="4" w:space="0" w:color="000000"/>
            </w:tcBorders>
            <w:shd w:val="clear" w:color="auto" w:fill="FFFFFF"/>
            <w:vAlign w:val="center"/>
          </w:tcPr>
          <w:p/>
        </w:tc>
        <w:tc>
          <w:tcPr>
            <w:tcW w:w="4668" w:type="dxa"/>
            <w:gridSpan w:val="2"/>
            <w:vMerge/>
            <w:tcBorders>
              <w:top w:val="nil"/>
              <w:left w:val="nil"/>
              <w:bottom w:val="single" w:sz="4" w:space="0" w:color="000000"/>
              <w:right w:val="single" w:sz="4" w:space="0" w:color="000000"/>
            </w:tcBorders>
            <w:shd w:val="clear" w:color="auto" w:fill="FFFFFF"/>
            <w:vAlign w:val="center"/>
          </w:tcPr>
          <w:p/>
        </w:tc>
        <w:tc>
          <w:tcPr>
            <w:tcW w:w="1620" w:type="dxa"/>
            <w:gridSpan w:val="2"/>
            <w:vMerge/>
            <w:tcBorders>
              <w:top w:val="nil"/>
              <w:left w:val="nil"/>
              <w:bottom w:val="single" w:sz="4" w:space="0" w:color="000000"/>
              <w:right w:val="single" w:sz="4" w:space="0" w:color="000000"/>
            </w:tcBorders>
            <w:shd w:val="clear" w:color="auto" w:fill="FFFFFF"/>
            <w:vAlign w:val="center"/>
          </w:tcPr>
          <w:p/>
        </w:tc>
        <w:tc>
          <w:tcPr>
            <w:tcW w:w="3060" w:type="dxa"/>
            <w:gridSpan w:val="2"/>
            <w:vMerge/>
            <w:tcBorders>
              <w:top w:val="nil"/>
              <w:left w:val="nil"/>
              <w:bottom w:val="single" w:sz="4" w:space="0" w:color="000000"/>
              <w:right w:val="single" w:sz="4" w:space="0" w:color="000000"/>
            </w:tcBorders>
            <w:shd w:val="clear" w:color="auto" w:fill="FFFFFF"/>
            <w:vAlign w:val="center"/>
          </w:tcPr>
          <w:p/>
        </w:tc>
        <w:tc>
          <w:tcPr>
            <w:tcW w:w="3808" w:type="dxa"/>
            <w:vMerge/>
            <w:tcBorders>
              <w:top w:val="nil"/>
              <w:left w:val="nil"/>
              <w:bottom w:val="single" w:sz="4" w:space="0" w:color="000000"/>
              <w:right w:val="single" w:sz="4" w:space="0" w:color="000000"/>
            </w:tcBorders>
            <w:shd w:val="clear" w:color="auto" w:fill="FFFFFF"/>
            <w:vAlign w:val="center"/>
          </w:tcPr>
          <w:p/>
        </w:tc>
      </w:tr>
      <w:tr>
        <w:trPr>
          <w:trHeight w:val="312"/>
        </w:trPr>
        <w:tc>
          <w:tcPr>
            <w:tcW w:w="1020" w:type="dxa"/>
            <w:vMerge/>
            <w:tcBorders>
              <w:top w:val="nil"/>
              <w:left w:val="single" w:sz="4" w:space="0" w:color="000000"/>
              <w:bottom w:val="single" w:sz="4" w:space="0" w:color="000000"/>
              <w:right w:val="single" w:sz="4" w:space="0" w:color="000000"/>
            </w:tcBorders>
            <w:shd w:val="clear" w:color="auto" w:fill="FFFFFF"/>
            <w:vAlign w:val="center"/>
          </w:tcPr>
          <w:p/>
        </w:tc>
        <w:tc>
          <w:tcPr>
            <w:tcW w:w="4668" w:type="dxa"/>
            <w:gridSpan w:val="2"/>
            <w:vMerge/>
            <w:tcBorders>
              <w:top w:val="nil"/>
              <w:left w:val="nil"/>
              <w:bottom w:val="single" w:sz="4" w:space="0" w:color="000000"/>
              <w:right w:val="single" w:sz="4" w:space="0" w:color="000000"/>
            </w:tcBorders>
            <w:shd w:val="clear" w:color="auto" w:fill="FFFFFF"/>
            <w:vAlign w:val="center"/>
          </w:tcPr>
          <w:p/>
        </w:tc>
        <w:tc>
          <w:tcPr>
            <w:tcW w:w="1620" w:type="dxa"/>
            <w:gridSpan w:val="2"/>
            <w:vMerge/>
            <w:tcBorders>
              <w:top w:val="nil"/>
              <w:left w:val="nil"/>
              <w:bottom w:val="single" w:sz="4" w:space="0" w:color="000000"/>
              <w:right w:val="single" w:sz="4" w:space="0" w:color="000000"/>
            </w:tcBorders>
            <w:shd w:val="clear" w:color="auto" w:fill="FFFFFF"/>
            <w:vAlign w:val="center"/>
          </w:tcPr>
          <w:p/>
        </w:tc>
        <w:tc>
          <w:tcPr>
            <w:tcW w:w="3060" w:type="dxa"/>
            <w:gridSpan w:val="2"/>
            <w:vMerge/>
            <w:tcBorders>
              <w:top w:val="nil"/>
              <w:left w:val="nil"/>
              <w:bottom w:val="single" w:sz="4" w:space="0" w:color="000000"/>
              <w:right w:val="single" w:sz="4" w:space="0" w:color="000000"/>
            </w:tcBorders>
            <w:shd w:val="clear" w:color="auto" w:fill="FFFFFF"/>
            <w:vAlign w:val="center"/>
          </w:tcPr>
          <w:p/>
        </w:tc>
        <w:tc>
          <w:tcPr>
            <w:tcW w:w="3808" w:type="dxa"/>
            <w:vMerge/>
            <w:tcBorders>
              <w:top w:val="nil"/>
              <w:left w:val="nil"/>
              <w:bottom w:val="single" w:sz="4" w:space="0" w:color="000000"/>
              <w:right w:val="single" w:sz="4" w:space="0" w:color="000000"/>
            </w:tcBorders>
            <w:shd w:val="clear" w:color="auto" w:fill="FFFFFF"/>
            <w:vAlign w:val="center"/>
          </w:tcPr>
          <w:p/>
        </w:tc>
      </w:tr>
      <w:tr>
        <w:trPr>
          <w:trHeight w:val="308"/>
        </w:trPr>
        <w:tc>
          <w:tcPr>
            <w:tcW w:w="5688" w:type="dxa"/>
            <w:gridSpan w:val="3"/>
            <w:tcBorders>
              <w:top w:val="nil"/>
              <w:left w:val="single" w:sz="4" w:space="0" w:color="000000"/>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栏次</w:t>
            </w:r>
          </w:p>
        </w:tc>
        <w:tc>
          <w:tcPr>
            <w:tcW w:w="1620" w:type="dxa"/>
            <w:gridSpan w:val="2"/>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1</w:t>
            </w:r>
          </w:p>
        </w:tc>
        <w:tc>
          <w:tcPr>
            <w:tcW w:w="3060" w:type="dxa"/>
            <w:gridSpan w:val="2"/>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2</w:t>
            </w:r>
          </w:p>
        </w:tc>
        <w:tc>
          <w:tcPr>
            <w:tcW w:w="3808"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3</w:t>
            </w:r>
          </w:p>
        </w:tc>
      </w:tr>
      <w:tr>
        <w:trPr>
          <w:trHeight w:val="308"/>
        </w:trPr>
        <w:tc>
          <w:tcPr>
            <w:tcW w:w="5688" w:type="dxa"/>
            <w:gridSpan w:val="3"/>
            <w:tcBorders>
              <w:top w:val="nil"/>
              <w:left w:val="single" w:sz="4" w:space="0" w:color="000000"/>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rPr>
            </w:pPr>
            <w:r>
              <w:rPr>
                <w:rFonts w:ascii="宋体" w:cs="Arial" w:hint="eastAsia"/>
                <w:color w:val="000000"/>
                <w:kern w:val="0"/>
                <w:sz w:val="22"/>
              </w:rPr>
              <w:t>合计</w:t>
            </w:r>
          </w:p>
        </w:tc>
        <w:tc>
          <w:tcPr>
            <w:tcW w:w="1620"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b/>
                <w:bCs/>
                <w:color w:val="000000"/>
                <w:kern w:val="0"/>
                <w:sz w:val="22"/>
              </w:rPr>
            </w:pPr>
            <w:r>
              <w:rPr>
                <w:rFonts w:ascii="宋体" w:cs="Arial" w:hint="eastAsia"/>
                <w:b/>
                <w:bCs/>
                <w:color w:val="000000"/>
                <w:kern w:val="0"/>
                <w:sz w:val="22"/>
              </w:rPr>
              <w:t>　</w:t>
            </w:r>
          </w:p>
        </w:tc>
        <w:tc>
          <w:tcPr>
            <w:tcW w:w="3060"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b/>
                <w:bCs/>
                <w:color w:val="000000"/>
                <w:kern w:val="0"/>
                <w:sz w:val="22"/>
              </w:rPr>
            </w:pPr>
            <w:r>
              <w:rPr>
                <w:rFonts w:ascii="宋体" w:cs="Arial" w:hint="eastAsia"/>
                <w:b/>
                <w:bCs/>
                <w:color w:val="000000"/>
                <w:kern w:val="0"/>
                <w:sz w:val="22"/>
              </w:rPr>
              <w:t>　</w:t>
            </w:r>
          </w:p>
        </w:tc>
        <w:tc>
          <w:tcPr>
            <w:tcW w:w="3808"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b/>
                <w:bCs/>
                <w:color w:val="000000"/>
                <w:kern w:val="0"/>
                <w:sz w:val="22"/>
              </w:rPr>
            </w:pPr>
            <w:r>
              <w:rPr>
                <w:rFonts w:ascii="宋体" w:cs="Arial" w:hint="eastAsia"/>
                <w:b/>
                <w:bCs/>
                <w:color w:val="000000"/>
                <w:kern w:val="0"/>
                <w:sz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4668" w:type="dxa"/>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306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3808"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4668" w:type="dxa"/>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306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3808"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4668" w:type="dxa"/>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306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3808"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4668" w:type="dxa"/>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306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3808"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4668" w:type="dxa"/>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306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3808"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4668" w:type="dxa"/>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306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c>
          <w:tcPr>
            <w:tcW w:w="3808"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rPr>
            </w:pPr>
            <w:r>
              <w:rPr>
                <w:rFonts w:ascii="宋体" w:cs="Arial" w:hint="eastAsia"/>
                <w:color w:val="000000"/>
                <w:kern w:val="0"/>
                <w:sz w:val="22"/>
              </w:rPr>
              <w:t>　</w:t>
            </w:r>
          </w:p>
        </w:tc>
      </w:tr>
      <w:tr>
        <w:trPr>
          <w:trHeight w:val="308"/>
        </w:trPr>
        <w:tc>
          <w:tcPr>
            <w:tcW w:w="14176" w:type="dxa"/>
            <w:gridSpan w:val="8"/>
            <w:tcBorders>
              <w:top w:val="nil"/>
              <w:left w:val="nil"/>
              <w:bottom w:val="nil"/>
              <w:right w:val="nil"/>
            </w:tcBorders>
            <w:shd w:val="clear" w:color="auto" w:fill="auto"/>
            <w:noWrap/>
            <w:vAlign w:val="center"/>
          </w:tcPr>
          <w:p>
            <w:pPr>
              <w:widowControl/>
              <w:jc w:val="left"/>
              <w:rPr>
                <w:rFonts w:ascii="宋体" w:cs="Arial"/>
                <w:color w:val="000000"/>
                <w:kern w:val="0"/>
                <w:sz w:val="22"/>
              </w:rPr>
            </w:pPr>
            <w:r>
              <w:rPr>
                <w:rFonts w:ascii="宋体" w:cs="Arial" w:hint="eastAsia"/>
                <w:color w:val="000000"/>
                <w:kern w:val="0"/>
                <w:sz w:val="22"/>
              </w:rPr>
              <w:t>注：本表反映部门本年度国有资本经营预算财政拨款支出情况。</w:t>
            </w:r>
          </w:p>
          <w:p>
            <w:pPr>
              <w:widowControl/>
              <w:jc w:val="left"/>
              <w:rPr>
                <w:rFonts w:ascii="宋体" w:cs="Arial"/>
                <w:color w:val="000000"/>
                <w:kern w:val="0"/>
                <w:sz w:val="22"/>
              </w:rPr>
            </w:pPr>
          </w:p>
          <w:p>
            <w:pPr>
              <w:widowControl/>
              <w:jc w:val="left"/>
              <w:rPr>
                <w:rFonts w:ascii="宋体" w:cs="Arial"/>
                <w:b/>
                <w:color w:val="000000"/>
                <w:kern w:val="0"/>
                <w:sz w:val="22"/>
              </w:rPr>
            </w:pPr>
            <w:r>
              <w:rPr>
                <w:rFonts w:ascii="宋体" w:cs="Arial" w:hint="eastAsia"/>
                <w:b/>
                <w:color w:val="000000"/>
                <w:kern w:val="0"/>
                <w:sz w:val="28"/>
              </w:rPr>
              <w:t>说明：重庆海关技术中心无国有资本经营预算财政拨款支出，</w:t>
            </w:r>
            <w:r>
              <w:rPr>
                <w:rFonts w:hint="eastAsia"/>
                <w:b/>
                <w:sz w:val="28"/>
                <w:szCs w:val="28"/>
              </w:rPr>
              <w:t>故本表无数据。</w:t>
            </w:r>
          </w:p>
        </w:tc>
      </w:tr>
    </w:tbl>
    <w:p/>
    <w:p>
      <w:pPr>
        <w:widowControl/>
        <w:jc w:val="left"/>
      </w:pPr>
      <w:r>
        <w:br w:type="page"/>
      </w:r>
    </w:p>
    <w:p/>
    <w:tbl>
      <w:tblPr>
        <w:jc w:val="left"/>
        <w:tblInd w:w="93" w:type="dxa"/>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1208"/>
        <w:gridCol w:w="1348"/>
        <w:gridCol w:w="1078"/>
        <w:gridCol w:w="1198"/>
        <w:gridCol w:w="1198"/>
        <w:gridCol w:w="1078"/>
        <w:gridCol w:w="1078"/>
        <w:gridCol w:w="1348"/>
        <w:gridCol w:w="1078"/>
        <w:gridCol w:w="1198"/>
        <w:gridCol w:w="1198"/>
        <w:gridCol w:w="1078"/>
      </w:tblGrid>
      <w:tr>
        <w:trPr>
          <w:trHeight w:val="510"/>
        </w:trPr>
        <w:tc>
          <w:tcPr>
            <w:gridSpan w:val="12"/>
            <w:tcBorders>
              <w:top w:val="nil"/>
              <w:left w:val="nil"/>
              <w:bottom w:val="nil"/>
              <w:right w:val="nil"/>
            </w:tcBorders>
            <w:noWrap/>
            <w:vAlign w:val="bottom"/>
          </w:tcPr>
          <w:p>
            <w:pPr>
              <w:widowControl/>
              <w:jc w:val="center"/>
              <w:rPr>
                <w:rFonts w:ascii="宋体" w:cs="Arial"/>
                <w:color w:val="000000"/>
                <w:kern w:val="0"/>
                <w:sz w:val="30"/>
                <w:szCs w:val="30"/>
              </w:rPr>
            </w:pPr>
            <w:r>
              <w:rPr>
                <w:rFonts w:ascii="宋体" w:cs="Arial" w:hint="eastAsia"/>
                <w:b/>
                <w:color w:val="000000"/>
                <w:kern w:val="0"/>
                <w:sz w:val="44"/>
                <w:szCs w:val="44"/>
              </w:rPr>
              <w:t>财政拨款“三公”经费支出决算表</w:t>
            </w:r>
          </w:p>
        </w:tc>
      </w:tr>
      <w:tr>
        <w:trPr>
          <w:trHeight w:val="255"/>
        </w:trPr>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gridSpan w:val="2"/>
            <w:tcBorders>
              <w:top w:val="nil"/>
              <w:left w:val="nil"/>
              <w:bottom w:val="nil"/>
              <w:right w:val="nil"/>
            </w:tcBorders>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公开09表</w:t>
            </w:r>
          </w:p>
        </w:tc>
      </w:tr>
      <w:tr>
        <w:trPr>
          <w:trHeight w:val="255"/>
        </w:trPr>
        <w:tc>
          <w:tcPr>
            <w:gridSpan w:val="2"/>
            <w:tcBorders>
              <w:top w:val="nil"/>
              <w:left w:val="nil"/>
              <w:bottom w:val="single" w:sz="6" w:space="0" w:color="000000"/>
              <w:right w:val="nil"/>
            </w:tcBorders>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部门：重庆海关技术中心</w:t>
            </w: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tcBorders>
              <w:top w:val="nil"/>
              <w:left w:val="nil"/>
              <w:bottom w:val="nil"/>
              <w:right w:val="nil"/>
            </w:tcBorders>
            <w:noWrap/>
            <w:vAlign w:val="bottom"/>
          </w:tcPr>
          <w:p>
            <w:pPr>
              <w:widowControl/>
              <w:jc w:val="left"/>
              <w:rPr>
                <w:rFonts w:ascii="Arial" w:cs="Arial" w:hAnsi="Arial"/>
                <w:color w:val="000000"/>
                <w:kern w:val="0"/>
                <w:sz w:val="20"/>
                <w:szCs w:val="20"/>
              </w:rPr>
            </w:pPr>
          </w:p>
        </w:tc>
        <w:tc>
          <w:tcPr>
            <w:gridSpan w:val="2"/>
            <w:tcBorders>
              <w:top w:val="nil"/>
              <w:left w:val="nil"/>
              <w:bottom w:val="single" w:sz="6" w:space="0" w:color="000000"/>
              <w:right w:val="nil"/>
            </w:tcBorders>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15"/>
        </w:trPr>
        <w:tc>
          <w:tcPr>
            <w:gridSpan w:val="6"/>
            <w:tcBorders>
              <w:top w:val="single" w:sz="6" w:space="0" w:color="000000"/>
              <w:left w:val="single" w:sz="6" w:space="0" w:color="000000"/>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预算数</w:t>
            </w:r>
          </w:p>
        </w:tc>
        <w:tc>
          <w:tcPr>
            <w:gridSpan w:val="6"/>
            <w:tcBorders>
              <w:top w:val="single" w:sz="6" w:space="0" w:color="000000"/>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决算数</w:t>
            </w:r>
          </w:p>
        </w:tc>
      </w:tr>
      <w:tr>
        <w:trPr>
          <w:trHeight w:val="315"/>
        </w:trPr>
        <w:tc>
          <w:tcPr>
            <w:vMerge w:val="restart"/>
            <w:tcBorders>
              <w:top w:val="nil"/>
              <w:left w:val="single" w:sz="6" w:space="0" w:color="000000"/>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合计</w:t>
            </w:r>
          </w:p>
        </w:tc>
        <w:tc>
          <w:tcPr>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因公出国（境）费</w:t>
            </w:r>
          </w:p>
        </w:tc>
        <w:tc>
          <w:tcPr>
            <w:gridSpan w:val="3"/>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公务用车购置及运行费</w:t>
            </w:r>
          </w:p>
        </w:tc>
        <w:tc>
          <w:tcPr>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公务接待费</w:t>
            </w:r>
          </w:p>
        </w:tc>
        <w:tc>
          <w:tcPr>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合计</w:t>
            </w:r>
          </w:p>
        </w:tc>
        <w:tc>
          <w:tcPr>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因公出国（境）费</w:t>
            </w:r>
          </w:p>
        </w:tc>
        <w:tc>
          <w:tcPr>
            <w:gridSpan w:val="3"/>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公务用车购置及运行费</w:t>
            </w:r>
          </w:p>
        </w:tc>
        <w:tc>
          <w:tcPr>
            <w:vMerge w:val="restart"/>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公务接待费</w:t>
            </w:r>
          </w:p>
        </w:tc>
      </w:tr>
      <w:tr>
        <w:trPr>
          <w:trHeight w:val="615"/>
        </w:trPr>
        <w:tc>
          <w:tcPr>
            <w:vMerge/>
            <w:tcBorders>
              <w:top w:val="nil"/>
              <w:left w:val="single" w:sz="6" w:space="0" w:color="000000"/>
              <w:bottom w:val="single" w:sz="6" w:space="0" w:color="000000"/>
              <w:right w:val="single" w:sz="6" w:space="0" w:color="000000"/>
            </w:tcBorders>
            <w:vAlign w:val="center"/>
          </w:tcPr>
          <w:p/>
        </w:tc>
        <w:tc>
          <w:tcPr>
            <w:vMerge/>
            <w:tcBorders>
              <w:top w:val="nil"/>
              <w:left w:val="nil"/>
              <w:bottom w:val="single" w:sz="6" w:space="0" w:color="000000"/>
              <w:right w:val="single" w:sz="6" w:space="0" w:color="000000"/>
            </w:tcBorders>
            <w:vAlign w:val="center"/>
          </w:tcP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小计</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公务用车购置费</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公务用车运行费</w:t>
            </w:r>
          </w:p>
        </w:tc>
        <w:tc>
          <w:tcPr>
            <w:vMerge/>
            <w:tcBorders>
              <w:top w:val="nil"/>
              <w:left w:val="nil"/>
              <w:bottom w:val="single" w:sz="6" w:space="0" w:color="000000"/>
              <w:right w:val="single" w:sz="6" w:space="0" w:color="000000"/>
            </w:tcBorders>
            <w:vAlign w:val="center"/>
          </w:tcPr>
          <w:p/>
        </w:tc>
        <w:tc>
          <w:tcPr>
            <w:vMerge/>
            <w:tcBorders>
              <w:top w:val="nil"/>
              <w:left w:val="nil"/>
              <w:bottom w:val="single" w:sz="6" w:space="0" w:color="000000"/>
              <w:right w:val="single" w:sz="6" w:space="0" w:color="000000"/>
            </w:tcBorders>
            <w:vAlign w:val="center"/>
          </w:tcPr>
          <w:p/>
        </w:tc>
        <w:tc>
          <w:tcPr>
            <w:vMerge/>
            <w:tcBorders>
              <w:top w:val="nil"/>
              <w:left w:val="nil"/>
              <w:bottom w:val="single" w:sz="6" w:space="0" w:color="000000"/>
              <w:right w:val="single" w:sz="6" w:space="0" w:color="000000"/>
            </w:tcBorders>
            <w:vAlign w:val="center"/>
          </w:tcP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小计</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公务用车购置费</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公务用车运行费</w:t>
            </w:r>
          </w:p>
        </w:tc>
        <w:tc>
          <w:tcPr>
            <w:vMerge/>
            <w:tcBorders>
              <w:top w:val="nil"/>
              <w:left w:val="nil"/>
              <w:bottom w:val="single" w:sz="6" w:space="0" w:color="000000"/>
              <w:right w:val="single" w:sz="6" w:space="0" w:color="000000"/>
            </w:tcBorders>
            <w:vAlign w:val="center"/>
          </w:tcPr>
          <w:p/>
        </w:tc>
      </w:tr>
      <w:tr>
        <w:trPr>
          <w:trHeight w:val="315"/>
        </w:trPr>
        <w:tc>
          <w:tcPr>
            <w:tcBorders>
              <w:top w:val="nil"/>
              <w:left w:val="single" w:sz="6" w:space="0" w:color="000000"/>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1</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2</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3</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4</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5</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6</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7</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8</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9</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10</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11</w:t>
            </w:r>
          </w:p>
        </w:tc>
        <w:tc>
          <w:tcPr>
            <w:tcBorders>
              <w:top w:val="nil"/>
              <w:left w:val="nil"/>
              <w:bottom w:val="single" w:sz="6" w:space="0" w:color="000000"/>
              <w:right w:val="single" w:sz="6" w:space="0" w:color="000000"/>
            </w:tcBorders>
            <w:vAlign w:val="center"/>
          </w:tcPr>
          <w:p>
            <w:pPr>
              <w:widowControl/>
              <w:jc w:val="center"/>
              <w:rPr>
                <w:rFonts w:ascii="宋体" w:cs="Arial"/>
                <w:color w:val="000000"/>
                <w:kern w:val="0"/>
                <w:sz w:val="22"/>
              </w:rPr>
            </w:pPr>
            <w:r>
              <w:rPr>
                <w:rFonts w:ascii="宋体" w:cs="Arial" w:hint="eastAsia"/>
                <w:color w:val="000000"/>
                <w:kern w:val="0"/>
                <w:sz w:val="22"/>
              </w:rPr>
              <w:t>12</w:t>
            </w:r>
          </w:p>
        </w:tc>
      </w:tr>
      <w:tr>
        <w:trPr>
          <w:trHeight w:val="315"/>
        </w:trPr>
        <w:tc>
          <w:tcPr>
            <w:tcBorders>
              <w:top w:val="nil"/>
              <w:left w:val="single" w:sz="6" w:space="0" w:color="000000"/>
              <w:bottom w:val="single" w:sz="6" w:space="0" w:color="000000"/>
              <w:right w:val="single" w:sz="6" w:space="0" w:color="000000"/>
            </w:tcBorders>
            <w:noWrap/>
            <w:vAlign w:val="center"/>
          </w:tcPr>
          <w:p>
            <w:pPr>
              <w:widowControl/>
              <w:jc w:val="right"/>
              <w:rPr>
                <w:rFonts w:ascii="宋体" w:cs="Arial"/>
                <w:color w:val="000000"/>
                <w:kern w:val="0"/>
                <w:sz w:val="22"/>
              </w:rPr>
            </w:pPr>
          </w:p>
        </w:tc>
        <w:tc>
          <w:tcPr>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c>
          <w:tcPr>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rPr>
            </w:pPr>
          </w:p>
        </w:tc>
      </w:tr>
      <w:tr>
        <w:trPr>
          <w:trHeight w:val="615"/>
        </w:trPr>
        <w:tc>
          <w:tcPr>
            <w:gridSpan w:val="12"/>
            <w:tcBorders>
              <w:top w:val="nil"/>
              <w:left w:val="nil"/>
              <w:bottom w:val="nil"/>
              <w:right w:val="nil"/>
            </w:tcBorders>
            <w:vAlign w:val="center"/>
          </w:tcPr>
          <w:p>
            <w:pPr>
              <w:widowControl/>
              <w:jc w:val="left"/>
              <w:rPr>
                <w:rFonts w:ascii="宋体" w:cs="Arial"/>
                <w:color w:val="000000"/>
                <w:kern w:val="0"/>
                <w:sz w:val="22"/>
              </w:rPr>
            </w:pPr>
            <w:r>
              <w:rPr>
                <w:rFonts w:ascii="宋体" w:cs="Arial" w:hint="eastAsia"/>
                <w:color w:val="000000"/>
                <w:kern w:val="0"/>
                <w:sz w:val="22"/>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rPr>
          <w:b/>
          <w:sz w:val="28"/>
          <w:szCs w:val="28"/>
        </w:rPr>
      </w:pPr>
    </w:p>
    <w:p>
      <w:pPr>
        <w:rPr>
          <w:b/>
          <w:sz w:val="28"/>
          <w:szCs w:val="28"/>
        </w:rPr>
        <w:sectPr>
          <w:pgSz w:w="16840" w:h="11907" w:orient="landscape"/>
          <w:pgMar w:top="1701" w:right="1440" w:bottom="1701" w:left="1440" w:header="851" w:footer="992" w:gutter="0"/>
          <w:docGrid w:linePitch="312" w:charSpace="0"/>
        </w:sectPr>
      </w:pPr>
      <w:r>
        <w:rPr>
          <w:rFonts w:ascii="宋体" w:cs="Arial" w:hint="eastAsia"/>
          <w:b/>
          <w:color w:val="000000"/>
          <w:kern w:val="0"/>
          <w:sz w:val="28"/>
        </w:rPr>
        <w:t>说明：重庆海关技术中心无财政拨款“三公”经费支出，</w:t>
      </w:r>
      <w:r>
        <w:rPr>
          <w:rFonts w:hint="eastAsia"/>
          <w:b/>
          <w:sz w:val="28"/>
          <w:szCs w:val="28"/>
        </w:rPr>
        <w:t>故本表无数据。</w:t>
      </w: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autoSpaceDN w:val="0"/>
        <w:spacing w:line="560" w:lineRule="exact"/>
        <w:jc w:val="center"/>
        <w:rPr>
          <w:b/>
          <w:sz w:val="44"/>
          <w:szCs w:val="44"/>
        </w:rPr>
      </w:pPr>
      <w:r>
        <w:rPr>
          <w:rFonts w:hint="eastAsia"/>
          <w:b/>
          <w:sz w:val="44"/>
          <w:szCs w:val="44"/>
        </w:rPr>
        <w:t>第三部分</w:t>
      </w:r>
    </w:p>
    <w:p>
      <w:pPr>
        <w:autoSpaceDN w:val="0"/>
        <w:spacing w:line="560" w:lineRule="exact"/>
        <w:ind w:firstLineChars="200" w:firstLine="880"/>
        <w:jc w:val="center"/>
        <w:rPr>
          <w:b/>
          <w:sz w:val="44"/>
          <w:szCs w:val="44"/>
        </w:rPr>
      </w:pPr>
    </w:p>
    <w:p>
      <w:pPr>
        <w:autoSpaceDN w:val="0"/>
        <w:spacing w:line="560" w:lineRule="exact"/>
        <w:jc w:val="center"/>
        <w:rPr>
          <w:b/>
          <w:sz w:val="44"/>
          <w:szCs w:val="44"/>
        </w:rPr>
      </w:pPr>
      <w:r>
        <w:rPr>
          <w:rFonts w:hint="eastAsia"/>
          <w:b/>
          <w:sz w:val="44"/>
          <w:szCs w:val="44"/>
        </w:rPr>
        <w:t>2022年度部门决算情况说明</w:t>
      </w:r>
    </w:p>
    <w:p>
      <w:pPr>
        <w:widowControl/>
        <w:autoSpaceDN w:val="0"/>
        <w:spacing w:line="560" w:lineRule="exact"/>
        <w:ind w:firstLineChars="100" w:firstLine="320"/>
        <w:jc w:val="center"/>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autoSpaceDN w:val="0"/>
        <w:spacing w:line="560" w:lineRule="exact"/>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一、收入支出决算总体情况说明</w:t>
      </w:r>
    </w:p>
    <w:p>
      <w:pPr>
        <w:autoSpaceDN w:val="0"/>
        <w:spacing w:line="560" w:lineRule="exact"/>
        <w:ind w:firstLineChars="200" w:firstLine="640"/>
        <w:rPr>
          <w:rFonts w:eastAsia="方正仿宋_GBK"/>
          <w:sz w:val="32"/>
          <w:szCs w:val="32"/>
        </w:rPr>
      </w:pPr>
      <w:r>
        <w:rPr>
          <w:rFonts w:eastAsia="方正仿宋_GBK" w:hint="eastAsia"/>
          <w:sz w:val="32"/>
          <w:szCs w:val="32"/>
        </w:rPr>
        <w:t>2022年度收入总计</w:t>
      </w:r>
      <w:r>
        <w:rPr>
          <w:rFonts w:eastAsia="方正仿宋_GBK"/>
          <w:sz w:val="32"/>
          <w:szCs w:val="32"/>
        </w:rPr>
        <w:t>5096.3</w:t>
      </w:r>
      <w:r>
        <w:rPr>
          <w:rFonts w:eastAsia="方正仿宋_GBK" w:hint="eastAsia"/>
          <w:sz w:val="32"/>
          <w:szCs w:val="32"/>
        </w:rPr>
        <w:t>0万元、支出总计</w:t>
      </w:r>
      <w:r>
        <w:rPr>
          <w:rFonts w:eastAsia="方正仿宋_GBK"/>
          <w:sz w:val="32"/>
          <w:szCs w:val="32"/>
        </w:rPr>
        <w:t>5096.3</w:t>
      </w:r>
      <w:r>
        <w:rPr>
          <w:rFonts w:eastAsia="方正仿宋_GBK" w:hint="eastAsia"/>
          <w:sz w:val="32"/>
          <w:szCs w:val="32"/>
        </w:rPr>
        <w:t>0万元。与2021年度相比，收入总计增加173.68万元、上升3.53%，其中本年收入3965.13万元，本年使用非财政拨款结余760.86万元，年初结转和结余370.31万元。与2021年度相比，支出总计增加173.68万元、上升3.53%，其中本年支出</w:t>
      </w:r>
      <w:r>
        <w:rPr>
          <w:rFonts w:eastAsia="方正仿宋_GBK"/>
          <w:sz w:val="32"/>
          <w:szCs w:val="32"/>
        </w:rPr>
        <w:t>4681.04</w:t>
      </w:r>
      <w:r>
        <w:rPr>
          <w:rFonts w:eastAsia="方正仿宋_GBK" w:hint="eastAsia"/>
          <w:sz w:val="32"/>
          <w:szCs w:val="32"/>
        </w:rPr>
        <w:t>万元，结余分配0万元，年末结转和结余</w:t>
      </w:r>
      <w:r>
        <w:rPr>
          <w:rFonts w:eastAsia="方正仿宋_GBK"/>
          <w:sz w:val="32"/>
          <w:szCs w:val="32"/>
        </w:rPr>
        <w:t>415.26</w:t>
      </w:r>
      <w:r>
        <w:rPr>
          <w:rFonts w:eastAsia="方正仿宋_GBK" w:hint="eastAsia"/>
          <w:sz w:val="32"/>
          <w:szCs w:val="32"/>
        </w:rPr>
        <w:t>万元。</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图1：收支决算总体变动情况</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（单位：万元）</w:t>
      </w:r>
    </w:p>
    <w:p>
      <w:pPr>
        <w:jc w:val="center"/>
        <w:rPr>
          <w:rFonts w:ascii="Times New Roman" w:eastAsia="宋体" w:hAnsi="Times New Roman"/>
          <w:szCs w:val="24"/>
        </w:rPr>
      </w:pPr>
      <w:r>
        <w:rPr>
          <w:rFonts w:ascii="Times New Roman" w:eastAsia="宋体" w:hAnsi="Times New Roman"/>
          <w:szCs w:val="24"/>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color="#FFFFFF" stroked="t" style="width:398.24997pt;height:261.75pt;" o:ole="">
            <v:stroke color="#000000"/>
            <v:imagedata r:id="rId2" o:title=""/>
          </v:shape>
          <o:OLEObject Type="Embed" ProgID="Package" ShapeID="_x0000_i1" DrawAspect="Icon" ObjectID="_1393063351"/>
        </w:objec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二、收入决算情况说明</w:t>
      </w:r>
    </w:p>
    <w:p>
      <w:pPr>
        <w:ind w:firstLineChars="200" w:firstLine="640"/>
        <w:rPr>
          <w:rFonts w:eastAsia="方正仿宋_GBK"/>
          <w:bCs/>
          <w:kern w:val="0"/>
          <w:sz w:val="32"/>
          <w:szCs w:val="32"/>
        </w:rPr>
      </w:pPr>
      <w:r>
        <w:rPr>
          <w:rFonts w:eastAsia="方正仿宋_GBK"/>
          <w:sz w:val="32"/>
          <w:szCs w:val="32"/>
        </w:rPr>
        <w:t>202</w:t>
      </w:r>
      <w:r>
        <w:rPr>
          <w:rFonts w:eastAsia="方正仿宋_GBK" w:hint="eastAsia"/>
          <w:sz w:val="32"/>
          <w:szCs w:val="32"/>
        </w:rPr>
        <w:t>2年</w:t>
      </w:r>
      <w:r>
        <w:rPr>
          <w:rFonts w:eastAsia="方正仿宋_GBK"/>
          <w:sz w:val="32"/>
          <w:szCs w:val="32"/>
        </w:rPr>
        <w:t>度</w:t>
      </w:r>
      <w:r>
        <w:rPr>
          <w:rFonts w:eastAsia="方正仿宋_GBK" w:hint="eastAsia"/>
          <w:sz w:val="32"/>
          <w:szCs w:val="32"/>
        </w:rPr>
        <w:t>本年收入</w:t>
      </w:r>
      <w:r>
        <w:rPr>
          <w:rFonts w:eastAsia="方正仿宋_GBK"/>
          <w:sz w:val="32"/>
          <w:szCs w:val="32"/>
        </w:rPr>
        <w:t>合</w:t>
      </w:r>
      <w:r>
        <w:rPr>
          <w:rFonts w:eastAsia="方正仿宋_GBK" w:hint="eastAsia"/>
          <w:sz w:val="32"/>
          <w:szCs w:val="32"/>
        </w:rPr>
        <w:t>计</w:t>
      </w:r>
      <w:r>
        <w:rPr>
          <w:rFonts w:eastAsia="方正仿宋_GBK"/>
          <w:sz w:val="32"/>
          <w:szCs w:val="32"/>
        </w:rPr>
        <w:t>3,965.13</w:t>
      </w:r>
      <w:r>
        <w:rPr>
          <w:rFonts w:eastAsia="方正仿宋_GBK" w:hint="eastAsia"/>
          <w:sz w:val="32"/>
          <w:szCs w:val="32"/>
        </w:rPr>
        <w:t>万元。其中</w:t>
      </w:r>
      <w:r>
        <w:rPr>
          <w:rFonts w:eastAsia="方正仿宋_GBK" w:hint="eastAsia"/>
          <w:b/>
          <w:bCs/>
          <w:sz w:val="32"/>
          <w:szCs w:val="32"/>
        </w:rPr>
        <w:t>：</w:t>
      </w:r>
      <w:r>
        <w:rPr>
          <w:rFonts w:eastAsia="方正仿宋_GBK" w:hint="eastAsia"/>
          <w:bCs/>
          <w:kern w:val="0"/>
          <w:sz w:val="32"/>
          <w:szCs w:val="32"/>
        </w:rPr>
        <w:t>一般公共预算财政拨款收入1,135.38万元，占28.63%；事业收入2,488.76万元，占62.77%；其他收入340.99万元，占8.60%。</w:t>
      </w:r>
    </w:p>
    <w:p>
      <w:r>
        <w:rPr>
          <w:rFonts w:hint="eastAsia"/>
        </w:rPr>
        <w:t xml:space="preserve">               </w:t>
      </w:r>
    </w:p>
    <w:p>
      <w:pPr>
        <w:autoSpaceDN w:val="0"/>
        <w:spacing w:line="560" w:lineRule="exact"/>
        <w:jc w:val="center"/>
      </w:pPr>
      <w:r>
        <w:rPr>
          <w:rFonts w:hint="eastAsia"/>
        </w:rPr>
        <w:t xml:space="preserve">                </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图2：收入决算</w:t>
      </w:r>
    </w:p>
    <w:p>
      <w:r>
        <w:object>
          <v:shape id="_x0000_i2" type="#_x0000_t75" fillcolor="#FFFFFF" stroked="t" style="width:418.5pt;height:216.0pt;" o:ole="">
            <v:stroke color="#000000"/>
            <v:imagedata r:id="rId3" o:title=""/>
          </v:shape>
          <o:OLEObject Type="Embed" ProgID="Package" ShapeID="_x0000_i2" DrawAspect="Icon" ObjectID="_1393063352"/>
        </w:object>
      </w:r>
    </w:p>
    <w:p/>
    <w:p>
      <w:pPr>
        <w:autoSpaceDN w:val="0"/>
        <w:spacing w:line="560" w:lineRule="exact"/>
        <w:ind w:firstLineChars="196" w:firstLine="627"/>
        <w:rPr>
          <w:rFonts w:eastAsia="方正仿宋_GBK"/>
          <w:spacing w:val="-6"/>
          <w:sz w:val="32"/>
          <w:szCs w:val="32"/>
        </w:rPr>
      </w:pPr>
      <w:r>
        <w:rPr>
          <w:rFonts w:ascii="方正楷体_GBK" w:eastAsia="方正楷体_GBK" w:hint="eastAsia"/>
          <w:b/>
          <w:bCs/>
          <w:sz w:val="32"/>
          <w:szCs w:val="32"/>
        </w:rPr>
        <w:t>三、支出决算情况说明</w:t>
      </w:r>
    </w:p>
    <w:p>
      <w:pPr>
        <w:autoSpaceDN w:val="0"/>
        <w:spacing w:line="560" w:lineRule="exact"/>
        <w:ind w:firstLineChars="200" w:firstLine="640"/>
        <w:rPr>
          <w:rFonts w:ascii="方正楷体_GBK" w:eastAsia="方正楷体_GBK"/>
          <w:b/>
          <w:bCs/>
          <w:sz w:val="32"/>
          <w:szCs w:val="32"/>
        </w:rPr>
      </w:pPr>
      <w:r>
        <w:rPr>
          <w:rFonts w:eastAsia="方正仿宋_GBK"/>
          <w:sz w:val="32"/>
          <w:szCs w:val="32"/>
        </w:rPr>
        <w:t>20</w:t>
      </w:r>
      <w:r>
        <w:rPr>
          <w:rFonts w:eastAsia="方正仿宋_GBK" w:hint="eastAsia"/>
          <w:sz w:val="32"/>
          <w:szCs w:val="32"/>
        </w:rPr>
        <w:t>22年度本年支出合计</w:t>
      </w:r>
      <w:r>
        <w:rPr>
          <w:rFonts w:eastAsia="方正仿宋_GBK"/>
          <w:sz w:val="32"/>
          <w:szCs w:val="32"/>
        </w:rPr>
        <w:t>4,681.04</w:t>
      </w:r>
      <w:r>
        <w:rPr>
          <w:rFonts w:eastAsia="方正仿宋_GBK" w:hint="eastAsia"/>
          <w:sz w:val="32"/>
          <w:szCs w:val="32"/>
        </w:rPr>
        <w:t>万元，其中：基本支出</w:t>
      </w:r>
      <w:r>
        <w:rPr>
          <w:rFonts w:eastAsia="方正仿宋_GBK"/>
          <w:sz w:val="32"/>
          <w:szCs w:val="32"/>
        </w:rPr>
        <w:t>4,036.25</w:t>
      </w:r>
      <w:r>
        <w:rPr>
          <w:rFonts w:eastAsia="方正仿宋_GBK" w:hint="eastAsia"/>
          <w:sz w:val="32"/>
          <w:szCs w:val="32"/>
        </w:rPr>
        <w:t>万元，占</w:t>
      </w:r>
      <w:r>
        <w:rPr>
          <w:rFonts w:eastAsia="方正仿宋_GBK"/>
          <w:sz w:val="32"/>
          <w:szCs w:val="32"/>
        </w:rPr>
        <w:t>86.23%</w:t>
      </w:r>
      <w:r>
        <w:rPr>
          <w:rFonts w:eastAsia="方正仿宋_GBK" w:hint="eastAsia"/>
          <w:sz w:val="32"/>
          <w:szCs w:val="32"/>
        </w:rPr>
        <w:t>；项目支出</w:t>
      </w:r>
      <w:r>
        <w:rPr>
          <w:rFonts w:eastAsia="方正仿宋_GBK"/>
          <w:sz w:val="32"/>
          <w:szCs w:val="32"/>
        </w:rPr>
        <w:t>644.79</w:t>
      </w:r>
      <w:r>
        <w:rPr>
          <w:rFonts w:eastAsia="方正仿宋_GBK" w:hint="eastAsia"/>
          <w:sz w:val="32"/>
          <w:szCs w:val="32"/>
        </w:rPr>
        <w:t>万元，占</w:t>
      </w:r>
      <w:r>
        <w:rPr>
          <w:rFonts w:eastAsia="方正仿宋_GBK"/>
          <w:sz w:val="32"/>
          <w:szCs w:val="32"/>
        </w:rPr>
        <w:t>13.77%</w:t>
      </w:r>
      <w:r>
        <w:rPr>
          <w:rFonts w:eastAsia="方正仿宋_GBK" w:hint="eastAsia"/>
          <w:sz w:val="32"/>
          <w:szCs w:val="32"/>
        </w:rPr>
        <w:t>。</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图3：支出决算</w:t>
      </w:r>
    </w:p>
    <w:p>
      <w:pPr>
        <w:jc w:val="center"/>
      </w:pPr>
      <w:r>
        <w:object>
          <v:shape id="_x0000_i3" type="#_x0000_t75" fillcolor="#FFFFFF" stroked="t" style="width:410.24997pt;height:219.75pt;" o:ole="">
            <v:stroke color="#000000"/>
            <v:imagedata r:id="rId4" o:title=""/>
          </v:shape>
          <o:OLEObject Type="Embed" ProgID="Package" ShapeID="_x0000_i3" DrawAspect="Icon" ObjectID="_1393063353"/>
        </w:objec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四、财政拨款收入支出决算总体情况说明</w:t>
      </w:r>
    </w:p>
    <w:p>
      <w:pPr>
        <w:autoSpaceDN w:val="0"/>
        <w:spacing w:line="560" w:lineRule="exact"/>
        <w:ind w:firstLineChars="200" w:firstLine="640"/>
        <w:rPr>
          <w:rFonts w:eastAsia="方正仿宋_GBK"/>
          <w:sz w:val="32"/>
          <w:szCs w:val="32"/>
        </w:rPr>
      </w:pPr>
      <w:r>
        <w:rPr>
          <w:rFonts w:eastAsia="方正仿宋_GBK" w:hint="eastAsia"/>
          <w:sz w:val="32"/>
          <w:szCs w:val="32"/>
        </w:rPr>
        <w:t>2022年度财政拨款收、支总计分别为</w:t>
      </w:r>
      <w:r>
        <w:rPr>
          <w:rFonts w:eastAsia="方正仿宋_GBK"/>
          <w:sz w:val="32"/>
          <w:szCs w:val="32"/>
        </w:rPr>
        <w:t>1,135.38</w:t>
      </w:r>
      <w:r>
        <w:rPr>
          <w:rFonts w:eastAsia="方正仿宋_GBK" w:hint="eastAsia"/>
          <w:sz w:val="32"/>
          <w:szCs w:val="32"/>
        </w:rPr>
        <w:t>万元、</w:t>
      </w:r>
      <w:r>
        <w:rPr>
          <w:rFonts w:eastAsia="方正仿宋_GBK"/>
          <w:sz w:val="32"/>
          <w:szCs w:val="32"/>
        </w:rPr>
        <w:t>1,135.38</w:t>
      </w:r>
      <w:r>
        <w:rPr>
          <w:rFonts w:eastAsia="方正仿宋_GBK" w:hint="eastAsia"/>
          <w:sz w:val="32"/>
          <w:szCs w:val="32"/>
        </w:rPr>
        <w:t>万元。与2021年度相比，财政拨款收、支总计分别减少68.22万元、68.22万元，下降比例分别为5.67%、5.67%，主要</w:t>
      </w:r>
      <w:r>
        <w:rPr>
          <w:rFonts w:eastAsia="方正仿宋_GBK"/>
          <w:sz w:val="32"/>
          <w:szCs w:val="32"/>
        </w:rPr>
        <w:t>原因是</w:t>
      </w:r>
      <w:r>
        <w:rPr>
          <w:rFonts w:eastAsia="方正仿宋_GBK" w:hint="eastAsia"/>
          <w:sz w:val="32"/>
          <w:szCs w:val="32"/>
        </w:rPr>
        <w:t>2022年度项目预算资金较2021年减少了96.69万元</w:t>
      </w:r>
      <w:r>
        <w:rPr>
          <w:rFonts w:eastAsia="方正仿宋_GBK"/>
          <w:sz w:val="32"/>
          <w:szCs w:val="32"/>
        </w:rPr>
        <w:t>。</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图4：财政拨款收、支决算总计变动情况</w:t>
      </w:r>
    </w:p>
    <w:p>
      <w:pPr>
        <w:autoSpaceDN w:val="0"/>
        <w:spacing w:line="560" w:lineRule="exact"/>
        <w:jc w:val="center"/>
        <w:rPr>
          <w:rFonts w:eastAsia="方正仿宋_GBK"/>
          <w:sz w:val="32"/>
          <w:szCs w:val="32"/>
        </w:rPr>
      </w:pPr>
      <w:r>
        <w:rPr>
          <w:rFonts w:ascii="方正楷体_GBK" w:eastAsia="方正楷体_GBK" w:hint="eastAsia"/>
          <w:b/>
          <w:bCs/>
          <w:sz w:val="32"/>
          <w:szCs w:val="32"/>
        </w:rPr>
        <w:t>（单位：万元）</w:t>
      </w:r>
    </w:p>
    <w:p>
      <w:pPr>
        <w:jc w:val="center"/>
      </w:pPr>
      <w:r>
        <w:object>
          <v:shape id="_x0000_i4" type="#_x0000_t75" fillcolor="#FFFFFF" stroked="t" style="width:411.75pt;height:230.25pt;" o:ole="">
            <v:stroke color="#000000"/>
            <v:imagedata r:id="rId5" o:title=""/>
          </v:shape>
          <o:OLEObject Type="Embed" ProgID="Package" ShapeID="_x0000_i4" DrawAspect="Icon" ObjectID="_1393063354"/>
        </w:objec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五、一般公共预算财政拨款支出决算情况说明</w:t>
      </w:r>
    </w:p>
    <w:p>
      <w:pPr>
        <w:autoSpaceDN w:val="0"/>
        <w:spacing w:line="560" w:lineRule="exact"/>
        <w:rPr>
          <w:rFonts w:eastAsia="方正仿宋_GBK"/>
          <w:kern w:val="0"/>
          <w:sz w:val="32"/>
          <w:szCs w:val="32"/>
        </w:rPr>
      </w:pPr>
      <w:r>
        <w:rPr>
          <w:rFonts w:eastAsia="方正仿宋_GBK" w:hint="eastAsia"/>
          <w:kern w:val="0"/>
          <w:sz w:val="32"/>
          <w:szCs w:val="32"/>
        </w:rPr>
        <w:t xml:space="preserve">   （一）财政拨款支出决算总体情况</w:t>
      </w:r>
    </w:p>
    <w:p>
      <w:pPr>
        <w:autoSpaceDN w:val="0"/>
        <w:spacing w:line="560" w:lineRule="exact"/>
        <w:ind w:firstLineChars="200" w:firstLine="640"/>
        <w:rPr>
          <w:rFonts w:eastAsia="方正仿宋_GBK"/>
          <w:sz w:val="32"/>
          <w:szCs w:val="32"/>
        </w:rPr>
      </w:pPr>
      <w:r>
        <w:rPr>
          <w:rFonts w:eastAsia="方正仿宋_GBK" w:hint="eastAsia"/>
          <w:kern w:val="0"/>
          <w:sz w:val="32"/>
          <w:szCs w:val="32"/>
        </w:rPr>
        <w:t>2022年度财政拨款支出</w:t>
      </w:r>
      <w:r>
        <w:rPr>
          <w:rFonts w:eastAsia="方正仿宋_GBK"/>
          <w:sz w:val="32"/>
          <w:szCs w:val="32"/>
        </w:rPr>
        <w:t>1,135.38</w:t>
      </w:r>
      <w:r>
        <w:rPr>
          <w:rFonts w:eastAsia="方正仿宋_GBK" w:hint="eastAsia"/>
          <w:kern w:val="0"/>
          <w:sz w:val="32"/>
          <w:szCs w:val="32"/>
        </w:rPr>
        <w:t>万元,占本年支出合计的</w:t>
      </w:r>
      <w:r>
        <w:rPr>
          <w:rFonts w:eastAsia="方正仿宋_GBK" w:hint="eastAsia"/>
          <w:sz w:val="32"/>
          <w:szCs w:val="32"/>
        </w:rPr>
        <w:t>24.25</w:t>
      </w:r>
      <w:r>
        <w:rPr>
          <w:rFonts w:eastAsia="方正仿宋_GBK" w:hint="eastAsia"/>
          <w:kern w:val="0"/>
          <w:sz w:val="32"/>
          <w:szCs w:val="32"/>
        </w:rPr>
        <w:t>%。与2021年度相比，财政拨款支出减少</w:t>
      </w:r>
      <w:r>
        <w:rPr>
          <w:rFonts w:eastAsia="方正仿宋_GBK" w:hint="eastAsia"/>
          <w:sz w:val="32"/>
          <w:szCs w:val="32"/>
        </w:rPr>
        <w:t>68.22</w:t>
      </w:r>
      <w:r>
        <w:rPr>
          <w:rFonts w:eastAsia="方正仿宋_GBK" w:hint="eastAsia"/>
          <w:kern w:val="0"/>
          <w:sz w:val="32"/>
          <w:szCs w:val="32"/>
        </w:rPr>
        <w:t>万元，下降</w:t>
      </w:r>
      <w:r>
        <w:rPr>
          <w:rFonts w:eastAsia="方正仿宋_GBK" w:hint="eastAsia"/>
          <w:sz w:val="32"/>
          <w:szCs w:val="32"/>
        </w:rPr>
        <w:t>5.67</w:t>
      </w:r>
      <w:r>
        <w:rPr>
          <w:rFonts w:eastAsia="方正仿宋_GBK" w:hint="eastAsia"/>
          <w:kern w:val="0"/>
          <w:sz w:val="32"/>
          <w:szCs w:val="32"/>
        </w:rPr>
        <w:t>%，</w:t>
      </w:r>
      <w:r>
        <w:rPr>
          <w:rFonts w:eastAsia="方正仿宋_GBK" w:hint="eastAsia"/>
          <w:sz w:val="32"/>
          <w:szCs w:val="32"/>
        </w:rPr>
        <w:t>主要是海关关务项目支出减少。</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图5：财政拨款支出决算变动情况</w:t>
      </w:r>
    </w:p>
    <w:p>
      <w:pPr>
        <w:autoSpaceDN w:val="0"/>
        <w:spacing w:line="560" w:lineRule="exact"/>
        <w:jc w:val="center"/>
        <w:rPr>
          <w:rFonts w:eastAsia="方正仿宋_GBK"/>
          <w:sz w:val="32"/>
          <w:szCs w:val="32"/>
        </w:rPr>
      </w:pPr>
      <w:r>
        <w:rPr>
          <w:rFonts w:ascii="方正楷体_GBK" w:eastAsia="方正楷体_GBK" w:hint="eastAsia"/>
          <w:b/>
          <w:bCs/>
          <w:sz w:val="32"/>
          <w:szCs w:val="32"/>
        </w:rPr>
        <w:t>（单位：万元）</w:t>
      </w:r>
    </w:p>
    <w:p>
      <w:r>
        <w:object>
          <v:shape id="_x0000_i5" type="#_x0000_t75" fillcolor="#FFFFFF" stroked="t" style="width:404.24997pt;height:219.75pt;" o:ole="">
            <v:stroke color="#000000"/>
            <v:imagedata r:id="rId6" o:title=""/>
          </v:shape>
          <o:OLEObject Type="Embed" ProgID="Package" ShapeID="_x0000_i5" DrawAspect="Icon" ObjectID="_1393063355"/>
        </w:object>
      </w:r>
    </w:p>
    <w:p>
      <w:pPr>
        <w:autoSpaceDN w:val="0"/>
        <w:spacing w:line="560" w:lineRule="exact"/>
        <w:ind w:firstLineChars="150" w:firstLine="480"/>
        <w:rPr>
          <w:rFonts w:eastAsia="方正仿宋_GBK"/>
          <w:kern w:val="0"/>
          <w:sz w:val="32"/>
          <w:szCs w:val="32"/>
        </w:rPr>
      </w:pPr>
      <w:r>
        <w:rPr>
          <w:rFonts w:eastAsia="方正仿宋_GBK" w:hint="eastAsia"/>
          <w:kern w:val="0"/>
          <w:sz w:val="32"/>
          <w:szCs w:val="32"/>
        </w:rPr>
        <w:t>（二）财政拨款支出决算结构情况</w:t>
      </w:r>
    </w:p>
    <w:p>
      <w:pPr>
        <w:autoSpaceDN w:val="0"/>
        <w:spacing w:line="560" w:lineRule="exact"/>
        <w:ind w:firstLineChars="200" w:firstLine="640"/>
        <w:rPr>
          <w:rFonts w:eastAsia="方正仿宋_GBK"/>
          <w:sz w:val="32"/>
          <w:szCs w:val="32"/>
        </w:rPr>
      </w:pPr>
      <w:r>
        <w:rPr>
          <w:rFonts w:eastAsia="方正仿宋_GBK" w:hint="eastAsia"/>
          <w:kern w:val="0"/>
          <w:sz w:val="32"/>
          <w:szCs w:val="32"/>
        </w:rPr>
        <w:t>2022年度财政拨款支出</w:t>
      </w:r>
      <w:r>
        <w:rPr>
          <w:rFonts w:eastAsia="方正仿宋_GBK" w:hint="eastAsia"/>
          <w:sz w:val="32"/>
          <w:szCs w:val="32"/>
        </w:rPr>
        <w:t>1135.38</w:t>
      </w:r>
      <w:r>
        <w:rPr>
          <w:rFonts w:eastAsia="方正仿宋_GBK" w:hint="eastAsia"/>
          <w:kern w:val="0"/>
          <w:sz w:val="32"/>
          <w:szCs w:val="32"/>
        </w:rPr>
        <w:t>万元，主要用于以下方面：一般公共服务（类）支出</w:t>
      </w:r>
      <w:r>
        <w:rPr>
          <w:rFonts w:eastAsia="方正仿宋_GBK" w:hint="eastAsia"/>
          <w:sz w:val="32"/>
          <w:szCs w:val="32"/>
        </w:rPr>
        <w:t>1000.38</w:t>
      </w:r>
      <w:r>
        <w:rPr>
          <w:rFonts w:eastAsia="方正仿宋_GBK" w:hint="eastAsia"/>
          <w:kern w:val="0"/>
          <w:sz w:val="32"/>
          <w:szCs w:val="32"/>
        </w:rPr>
        <w:t>万元，占</w:t>
      </w:r>
      <w:r>
        <w:rPr>
          <w:rFonts w:eastAsia="方正仿宋_GBK" w:hint="eastAsia"/>
          <w:sz w:val="32"/>
          <w:szCs w:val="32"/>
        </w:rPr>
        <w:t>88.11</w:t>
      </w:r>
      <w:r>
        <w:rPr>
          <w:rFonts w:eastAsia="方正仿宋_GBK"/>
          <w:sz w:val="32"/>
          <w:szCs w:val="32"/>
        </w:rPr>
        <w:t>%</w:t>
      </w:r>
      <w:r>
        <w:rPr>
          <w:rFonts w:eastAsia="方正仿宋_GBK" w:hint="eastAsia"/>
          <w:kern w:val="0"/>
          <w:sz w:val="32"/>
          <w:szCs w:val="32"/>
        </w:rPr>
        <w:t>；住房保障（类）支出</w:t>
      </w:r>
      <w:r>
        <w:rPr>
          <w:rFonts w:eastAsia="方正仿宋_GBK" w:hint="eastAsia"/>
          <w:sz w:val="32"/>
          <w:szCs w:val="32"/>
        </w:rPr>
        <w:t>135.00</w:t>
      </w:r>
      <w:r>
        <w:rPr>
          <w:rFonts w:eastAsia="方正仿宋_GBK" w:hint="eastAsia"/>
          <w:kern w:val="0"/>
          <w:sz w:val="32"/>
          <w:szCs w:val="32"/>
        </w:rPr>
        <w:t>万元，占</w:t>
      </w:r>
      <w:r>
        <w:rPr>
          <w:rFonts w:eastAsia="方正仿宋_GBK" w:hint="eastAsia"/>
          <w:sz w:val="32"/>
          <w:szCs w:val="32"/>
        </w:rPr>
        <w:t>11.89</w:t>
      </w:r>
      <w:r>
        <w:rPr>
          <w:rFonts w:eastAsia="方正仿宋_GBK"/>
          <w:sz w:val="32"/>
          <w:szCs w:val="32"/>
        </w:rPr>
        <w:t>%</w:t>
      </w:r>
      <w:r>
        <w:rPr>
          <w:rFonts w:eastAsia="方正仿宋_GBK" w:hint="eastAsia"/>
          <w:kern w:val="0"/>
          <w:sz w:val="32"/>
          <w:szCs w:val="32"/>
        </w:rPr>
        <w:t>。</w:t>
      </w:r>
    </w:p>
    <w:p>
      <w:pPr>
        <w:autoSpaceDN w:val="0"/>
        <w:spacing w:line="560" w:lineRule="exact"/>
        <w:ind w:leftChars="476" w:left="1000" w:firstLineChars="298" w:firstLine="954"/>
        <w:rPr>
          <w:rFonts w:ascii="方正楷体_GBK" w:eastAsia="方正楷体_GBK"/>
          <w:b/>
          <w:bCs/>
          <w:sz w:val="32"/>
          <w:szCs w:val="32"/>
        </w:rPr>
      </w:pPr>
      <w:r>
        <w:rPr>
          <w:rFonts w:ascii="方正楷体_GBK" w:eastAsia="方正楷体_GBK" w:hint="eastAsia"/>
          <w:b/>
          <w:bCs/>
          <w:sz w:val="32"/>
          <w:szCs w:val="32"/>
        </w:rPr>
        <w:t>图6：财政拨款支出决算结构</w:t>
      </w:r>
    </w:p>
    <w:p>
      <w:r>
        <w:object>
          <v:shape id="_x0000_i6" type="#_x0000_t75" fillcolor="#FFFFFF" stroked="t" style="width:428.46228pt;height:228.90569pt;" o:ole="">
            <v:stroke color="#000000"/>
            <v:imagedata r:id="rId7" o:title=""/>
          </v:shape>
          <o:OLEObject Type="Embed" ProgID="Package" ShapeID="_x0000_i6" DrawAspect="Icon" ObjectID="_1393063356"/>
        </w:object>
      </w:r>
    </w:p>
    <w:p>
      <w:pPr>
        <w:tabs>
          <w:tab w:val="left" w:pos="4157"/>
        </w:tabs>
        <w:autoSpaceDN w:val="0"/>
        <w:spacing w:line="560" w:lineRule="exact"/>
        <w:ind w:firstLineChars="100" w:firstLine="320"/>
        <w:rPr>
          <w:rFonts w:eastAsia="方正仿宋_GBK"/>
          <w:kern w:val="0"/>
          <w:sz w:val="32"/>
          <w:szCs w:val="32"/>
        </w:rPr>
      </w:pPr>
      <w:r>
        <w:rPr>
          <w:rFonts w:eastAsia="方正仿宋_GBK" w:hint="eastAsia"/>
          <w:kern w:val="0"/>
          <w:sz w:val="32"/>
          <w:szCs w:val="32"/>
        </w:rPr>
        <w:t>（三）财政拨款支出决算具体情况。</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2022年度财政拨款支出为</w:t>
      </w:r>
      <w:r>
        <w:rPr>
          <w:rFonts w:eastAsia="方正仿宋_GBK" w:hint="eastAsia"/>
          <w:sz w:val="32"/>
          <w:szCs w:val="32"/>
        </w:rPr>
        <w:t>1135.38</w:t>
      </w:r>
      <w:r>
        <w:rPr>
          <w:rFonts w:eastAsia="方正仿宋_GBK" w:hint="eastAsia"/>
          <w:kern w:val="0"/>
          <w:sz w:val="32"/>
          <w:szCs w:val="32"/>
        </w:rPr>
        <w:t>万元，支出具体情况如下：</w:t>
      </w:r>
      <w:r>
        <w:rPr>
          <w:rFonts w:eastAsia="方正仿宋_GBK"/>
          <w:kern w:val="0"/>
          <w:sz w:val="32"/>
          <w:szCs w:val="32"/>
        </w:rPr>
        <w:t xml:space="preserve"> </w:t>
      </w:r>
    </w:p>
    <w:p>
      <w:pPr>
        <w:tabs>
          <w:tab w:val="left" w:pos="4157"/>
        </w:tabs>
        <w:autoSpaceDN w:val="0"/>
        <w:spacing w:line="560" w:lineRule="exact"/>
        <w:ind w:firstLine="640"/>
        <w:rPr>
          <w:rFonts w:eastAsia="方正仿宋_GBK"/>
          <w:kern w:val="0"/>
          <w:sz w:val="32"/>
          <w:szCs w:val="32"/>
        </w:rPr>
      </w:pPr>
      <w:r>
        <w:rPr>
          <w:rFonts w:eastAsia="方正仿宋_GBK" w:hint="eastAsia"/>
          <w:bCs/>
          <w:kern w:val="0"/>
          <w:sz w:val="32"/>
          <w:szCs w:val="32"/>
        </w:rPr>
        <w:t>1.一般公共服务支出（类）海关事务（款）一般行政管理事务（项）</w:t>
      </w:r>
      <w:r>
        <w:rPr>
          <w:rFonts w:eastAsia="方正仿宋_GBK" w:hint="eastAsia"/>
          <w:kern w:val="0"/>
          <w:sz w:val="32"/>
          <w:szCs w:val="32"/>
        </w:rPr>
        <w:t>年初预算为6.00万元，支出决算为6.00万元，完成年初预算的</w:t>
      </w:r>
      <w:r>
        <w:rPr>
          <w:rFonts w:eastAsia="方正仿宋_GBK" w:hint="eastAsia"/>
          <w:sz w:val="32"/>
          <w:szCs w:val="32"/>
        </w:rPr>
        <w:t>100.00</w:t>
      </w:r>
      <w:r>
        <w:rPr>
          <w:rFonts w:eastAsia="方正仿宋_GBK" w:hint="eastAsia"/>
          <w:kern w:val="0"/>
          <w:sz w:val="32"/>
          <w:szCs w:val="32"/>
        </w:rPr>
        <w:t>%。</w:t>
      </w:r>
    </w:p>
    <w:p>
      <w:pPr>
        <w:ind w:firstLine="640"/>
        <w:rPr>
          <w:kern w:val="0"/>
        </w:rPr>
      </w:pPr>
      <w:r>
        <w:rPr>
          <w:rFonts w:eastAsia="方正仿宋_GBK" w:hint="eastAsia"/>
          <w:bCs/>
          <w:kern w:val="0"/>
          <w:sz w:val="32"/>
          <w:szCs w:val="32"/>
        </w:rPr>
        <w:t>2.一般公共服务支出（类）海关事务（款）海关关务（项）</w:t>
      </w:r>
      <w:r>
        <w:rPr>
          <w:rFonts w:eastAsia="方正仿宋_GBK" w:hint="eastAsia"/>
          <w:kern w:val="0"/>
          <w:sz w:val="32"/>
          <w:szCs w:val="32"/>
        </w:rPr>
        <w:t>年初预算为173.00万元，支出决算为173.00万元，完成年初预算的</w:t>
      </w:r>
      <w:r>
        <w:rPr>
          <w:rFonts w:eastAsia="方正仿宋_GBK" w:hint="eastAsia"/>
          <w:sz w:val="32"/>
          <w:szCs w:val="32"/>
        </w:rPr>
        <w:t>100.00</w:t>
      </w:r>
      <w:r>
        <w:rPr>
          <w:rFonts w:eastAsia="方正仿宋_GBK" w:hint="eastAsia"/>
          <w:kern w:val="0"/>
          <w:sz w:val="32"/>
          <w:szCs w:val="32"/>
        </w:rPr>
        <w:t>%。</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3.</w:t>
      </w:r>
      <w:r>
        <w:rPr>
          <w:rFonts w:eastAsia="方正仿宋_GBK" w:hint="eastAsia"/>
          <w:bCs/>
          <w:kern w:val="0"/>
          <w:sz w:val="32"/>
          <w:szCs w:val="32"/>
        </w:rPr>
        <w:t>一般公共服务支出（类）海关事务（款）检验检疫（项）</w:t>
      </w:r>
      <w:r>
        <w:rPr>
          <w:rFonts w:eastAsia="方正仿宋_GBK" w:hint="eastAsia"/>
          <w:kern w:val="0"/>
          <w:sz w:val="32"/>
          <w:szCs w:val="32"/>
        </w:rPr>
        <w:t>年初预算为464.29万元，支出决算为</w:t>
      </w:r>
      <w:r>
        <w:rPr>
          <w:rFonts w:eastAsia="方正仿宋_GBK"/>
          <w:kern w:val="0"/>
          <w:sz w:val="32"/>
          <w:szCs w:val="32"/>
        </w:rPr>
        <w:t>465.79</w:t>
      </w:r>
      <w:r>
        <w:rPr>
          <w:rFonts w:eastAsia="方正仿宋_GBK" w:hint="eastAsia"/>
          <w:kern w:val="0"/>
          <w:sz w:val="32"/>
          <w:szCs w:val="32"/>
        </w:rPr>
        <w:t>万元，完成年初预算的</w:t>
      </w:r>
      <w:r>
        <w:rPr>
          <w:rFonts w:eastAsia="方正仿宋_GBK" w:hint="eastAsia"/>
          <w:sz w:val="32"/>
          <w:szCs w:val="32"/>
        </w:rPr>
        <w:t>100.32</w:t>
      </w:r>
      <w:r>
        <w:rPr>
          <w:rFonts w:eastAsia="方正仿宋_GBK" w:hint="eastAsia"/>
          <w:kern w:val="0"/>
          <w:sz w:val="32"/>
          <w:szCs w:val="32"/>
        </w:rPr>
        <w:t>%。决算数大于预算数的原因</w:t>
      </w:r>
      <w:r>
        <w:rPr>
          <w:rFonts w:eastAsia="方正仿宋_GBK" w:hint="eastAsia"/>
          <w:bCs/>
          <w:kern w:val="0"/>
          <w:sz w:val="32"/>
          <w:szCs w:val="32"/>
        </w:rPr>
        <w:t>是年内追加了1.5万元“防止境外疫情输入专项”项目财政拨款预算。</w:t>
      </w:r>
    </w:p>
    <w:p>
      <w:pPr>
        <w:autoSpaceDE w:val="0"/>
        <w:autoSpaceDN w:val="0"/>
        <w:adjustRightInd w:val="0"/>
        <w:ind w:firstLineChars="200" w:firstLine="640"/>
        <w:jc w:val="left"/>
        <w:rPr>
          <w:rFonts w:eastAsia="方正仿宋_GBK"/>
          <w:bCs/>
          <w:kern w:val="0"/>
          <w:sz w:val="32"/>
          <w:szCs w:val="32"/>
        </w:rPr>
      </w:pPr>
      <w:r>
        <w:rPr>
          <w:rFonts w:eastAsia="方正仿宋_GBK" w:hint="eastAsia"/>
          <w:kern w:val="0"/>
          <w:sz w:val="32"/>
          <w:szCs w:val="32"/>
        </w:rPr>
        <w:t>4.</w:t>
      </w:r>
      <w:r>
        <w:rPr>
          <w:rFonts w:eastAsia="方正仿宋_GBK" w:hint="eastAsia"/>
          <w:bCs/>
          <w:kern w:val="0"/>
          <w:sz w:val="32"/>
          <w:szCs w:val="32"/>
        </w:rPr>
        <w:t>一般公共服务支出（类）海关事务（款）事业运行（项）</w:t>
      </w:r>
      <w:r>
        <w:rPr>
          <w:rFonts w:eastAsia="方正仿宋_GBK" w:hint="eastAsia"/>
          <w:kern w:val="0"/>
          <w:sz w:val="32"/>
          <w:szCs w:val="32"/>
        </w:rPr>
        <w:t>年初预算为351.19万元，支出决算为</w:t>
      </w:r>
      <w:r>
        <w:rPr>
          <w:rFonts w:eastAsia="方正仿宋_GBK"/>
          <w:kern w:val="0"/>
          <w:sz w:val="32"/>
          <w:szCs w:val="32"/>
        </w:rPr>
        <w:t>355.59</w:t>
      </w:r>
      <w:r>
        <w:rPr>
          <w:rFonts w:eastAsia="方正仿宋_GBK" w:hint="eastAsia"/>
          <w:kern w:val="0"/>
          <w:sz w:val="32"/>
          <w:szCs w:val="32"/>
        </w:rPr>
        <w:t>万元，完成年初预算的</w:t>
      </w:r>
      <w:r>
        <w:rPr>
          <w:rFonts w:eastAsia="方正仿宋_GBK" w:hint="eastAsia"/>
          <w:sz w:val="32"/>
          <w:szCs w:val="32"/>
        </w:rPr>
        <w:t>101.25</w:t>
      </w:r>
      <w:r>
        <w:rPr>
          <w:rFonts w:eastAsia="方正仿宋_GBK" w:hint="eastAsia"/>
          <w:kern w:val="0"/>
          <w:sz w:val="32"/>
          <w:szCs w:val="32"/>
        </w:rPr>
        <w:t>%。决算数大于预算数的原因</w:t>
      </w:r>
      <w:r>
        <w:rPr>
          <w:rFonts w:eastAsia="方正仿宋_GBK" w:hint="eastAsia"/>
          <w:bCs/>
          <w:kern w:val="0"/>
          <w:sz w:val="32"/>
          <w:szCs w:val="32"/>
        </w:rPr>
        <w:t>是年内追加了4.4万元“事业类人员经费”财政拨款预算。</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5.</w:t>
      </w:r>
      <w:r>
        <w:rPr>
          <w:rFonts w:eastAsia="方正仿宋_GBK" w:hint="eastAsia"/>
          <w:bCs/>
          <w:kern w:val="0"/>
          <w:sz w:val="32"/>
          <w:szCs w:val="32"/>
        </w:rPr>
        <w:t>住房保障支出（类）住房改革支出（款）住房公积金（项）</w:t>
      </w:r>
      <w:r>
        <w:rPr>
          <w:rFonts w:eastAsia="方正仿宋_GBK" w:hint="eastAsia"/>
          <w:kern w:val="0"/>
          <w:sz w:val="32"/>
          <w:szCs w:val="32"/>
        </w:rPr>
        <w:t>年初预算为135.00万元，支出决算为135.00万元，完成年初预算的</w:t>
      </w:r>
      <w:r>
        <w:rPr>
          <w:rFonts w:eastAsia="方正仿宋_GBK" w:hint="eastAsia"/>
          <w:sz w:val="32"/>
          <w:szCs w:val="32"/>
        </w:rPr>
        <w:t>100.00</w:t>
      </w:r>
      <w:r>
        <w:rPr>
          <w:rFonts w:eastAsia="方正仿宋_GBK" w:hint="eastAsia"/>
          <w:kern w:val="0"/>
          <w:sz w:val="32"/>
          <w:szCs w:val="32"/>
        </w:rPr>
        <w:t>%。</w:t>
      </w:r>
    </w:p>
    <w:p>
      <w:pPr>
        <w:tabs>
          <w:tab w:val="left" w:pos="4157"/>
        </w:tabs>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六、一般公共预算财政拨款基本支出决算情况说明</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2022年度财政拨款基本支出490.59万元，其中：人员经费</w:t>
      </w:r>
      <w:r>
        <w:rPr>
          <w:rFonts w:eastAsia="方正仿宋_GBK"/>
          <w:kern w:val="0"/>
          <w:sz w:val="32"/>
          <w:szCs w:val="32"/>
        </w:rPr>
        <w:t>402.27</w:t>
      </w:r>
      <w:r>
        <w:rPr>
          <w:rFonts w:eastAsia="方正仿宋_GBK" w:hint="eastAsia"/>
          <w:kern w:val="0"/>
          <w:sz w:val="32"/>
          <w:szCs w:val="32"/>
        </w:rPr>
        <w:t>万元，主要包括基本工资、津贴补贴、住房公积金；公用经费</w:t>
      </w:r>
      <w:r>
        <w:rPr>
          <w:rFonts w:eastAsia="方正仿宋_GBK"/>
          <w:kern w:val="0"/>
          <w:sz w:val="32"/>
          <w:szCs w:val="32"/>
        </w:rPr>
        <w:t>88.32</w:t>
      </w:r>
      <w:r>
        <w:rPr>
          <w:rFonts w:eastAsia="方正仿宋_GBK" w:hint="eastAsia"/>
          <w:kern w:val="0"/>
          <w:sz w:val="32"/>
          <w:szCs w:val="32"/>
        </w:rPr>
        <w:t>万元，主要包括办公费、印刷费、咨询费、水费、电费、邮电费、物业管理费、差旅费、专用材料费、劳务费、工会经费、福利费、其他商品和服务支出。</w:t>
      </w:r>
    </w:p>
    <w:p>
      <w:pPr>
        <w:tabs>
          <w:tab w:val="left" w:pos="4157"/>
        </w:tabs>
        <w:autoSpaceDN w:val="0"/>
        <w:spacing w:line="560" w:lineRule="exact"/>
        <w:ind w:firstLineChars="200" w:firstLine="640"/>
        <w:rPr>
          <w:rFonts w:eastAsia="方正仿宋_GBK"/>
          <w:kern w:val="0"/>
          <w:sz w:val="32"/>
          <w:szCs w:val="32"/>
        </w:rPr>
      </w:pPr>
    </w:p>
    <w:p>
      <w:pPr>
        <w:tabs>
          <w:tab w:val="left" w:pos="4157"/>
        </w:tabs>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七、一般公共预算财政拨款“三公”经费支出决算情况说明</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2022年度“三公”经费财政拨款支出预算为0.00万元，支出决算为0.00万元，本年未发生财政拨款“三公”经费支出。</w: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八、政府采购支出说明</w:t>
      </w:r>
    </w:p>
    <w:p>
      <w:pPr>
        <w:autoSpaceDN w:val="0"/>
        <w:spacing w:line="560" w:lineRule="exact"/>
        <w:ind w:firstLineChars="200" w:firstLine="640"/>
        <w:rPr>
          <w:rFonts w:eastAsia="方正仿宋_GBK"/>
          <w:kern w:val="0"/>
          <w:sz w:val="32"/>
          <w:szCs w:val="32"/>
        </w:rPr>
      </w:pPr>
      <w:r>
        <w:rPr>
          <w:rFonts w:ascii="方正仿宋_GBK" w:eastAsia="方正仿宋_GBK" w:hint="eastAsia"/>
          <w:kern w:val="0"/>
          <w:sz w:val="32"/>
          <w:szCs w:val="32"/>
        </w:rPr>
        <w:t>技术中心</w:t>
      </w:r>
      <w:r>
        <w:rPr>
          <w:rFonts w:eastAsia="方正仿宋_GBK" w:hint="eastAsia"/>
          <w:kern w:val="0"/>
          <w:sz w:val="32"/>
          <w:szCs w:val="32"/>
        </w:rPr>
        <w:t>2022年度政府采购支出总额</w:t>
      </w:r>
      <w:r>
        <w:rPr>
          <w:rFonts w:ascii="方正仿宋_GBK" w:eastAsia="方正仿宋_GBK" w:hint="eastAsia"/>
          <w:kern w:val="0"/>
          <w:sz w:val="32"/>
          <w:szCs w:val="32"/>
        </w:rPr>
        <w:t>45.16</w:t>
      </w:r>
      <w:r>
        <w:rPr>
          <w:rFonts w:eastAsia="方正仿宋_GBK" w:hint="eastAsia"/>
          <w:kern w:val="0"/>
          <w:sz w:val="32"/>
          <w:szCs w:val="32"/>
        </w:rPr>
        <w:t>万元，其中：政府采购货物支出</w:t>
      </w:r>
      <w:r>
        <w:rPr>
          <w:rFonts w:ascii="方正仿宋_GBK" w:eastAsia="方正仿宋_GBK" w:hint="eastAsia"/>
          <w:kern w:val="0"/>
          <w:sz w:val="32"/>
          <w:szCs w:val="32"/>
        </w:rPr>
        <w:t>45.16</w:t>
      </w:r>
      <w:r>
        <w:rPr>
          <w:rFonts w:eastAsia="方正仿宋_GBK" w:hint="eastAsia"/>
          <w:kern w:val="0"/>
          <w:sz w:val="32"/>
          <w:szCs w:val="32"/>
        </w:rPr>
        <w:t>万元。授予中小企业合同金额</w:t>
      </w:r>
      <w:r>
        <w:rPr>
          <w:rFonts w:ascii="方正仿宋_GBK" w:eastAsia="方正仿宋_GBK" w:hint="eastAsia"/>
          <w:kern w:val="0"/>
          <w:sz w:val="32"/>
          <w:szCs w:val="32"/>
        </w:rPr>
        <w:t>45.16</w:t>
      </w:r>
      <w:r>
        <w:rPr>
          <w:rFonts w:eastAsia="方正仿宋_GBK" w:hint="eastAsia"/>
          <w:kern w:val="0"/>
          <w:sz w:val="32"/>
          <w:szCs w:val="32"/>
        </w:rPr>
        <w:t>万元，占政府采购支出总额的</w:t>
      </w:r>
      <w:r>
        <w:rPr>
          <w:rFonts w:ascii="方正仿宋_GBK" w:eastAsia="方正仿宋_GBK" w:hint="eastAsia"/>
          <w:kern w:val="0"/>
          <w:sz w:val="32"/>
          <w:szCs w:val="32"/>
        </w:rPr>
        <w:t>100</w:t>
      </w:r>
      <w:r>
        <w:rPr>
          <w:rFonts w:eastAsia="方正仿宋_GBK" w:hint="eastAsia"/>
          <w:kern w:val="0"/>
          <w:sz w:val="32"/>
          <w:szCs w:val="32"/>
        </w:rPr>
        <w:t>%，其中：授予小微企业合同金额</w:t>
      </w:r>
      <w:r>
        <w:rPr>
          <w:rFonts w:ascii="方正仿宋_GBK" w:eastAsia="方正仿宋_GBK" w:hint="eastAsia"/>
          <w:kern w:val="0"/>
          <w:sz w:val="32"/>
          <w:szCs w:val="32"/>
        </w:rPr>
        <w:t>40.22</w:t>
      </w:r>
      <w:r>
        <w:rPr>
          <w:rFonts w:eastAsia="方正仿宋_GBK" w:hint="eastAsia"/>
          <w:kern w:val="0"/>
          <w:sz w:val="32"/>
          <w:szCs w:val="32"/>
        </w:rPr>
        <w:t>万元，占授予中小企业合同金额的89.06%；货物采购授予中小企业合同金额占货物支出金额的100%。</w: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九、国有资产占用情况说明</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截至2022年12月31日，</w:t>
      </w:r>
      <w:r>
        <w:rPr>
          <w:rFonts w:ascii="方正仿宋_GBK" w:eastAsia="方正仿宋_GBK" w:hint="eastAsia"/>
          <w:kern w:val="0"/>
          <w:sz w:val="32"/>
          <w:szCs w:val="32"/>
        </w:rPr>
        <w:t>重庆</w:t>
      </w:r>
      <w:r>
        <w:rPr>
          <w:rFonts w:eastAsia="方正仿宋_GBK" w:hint="eastAsia"/>
          <w:sz w:val="32"/>
          <w:szCs w:val="32"/>
        </w:rPr>
        <w:t>海关技术中心</w:t>
      </w:r>
      <w:r>
        <w:rPr>
          <w:rFonts w:eastAsia="方正仿宋_GBK" w:hint="eastAsia"/>
          <w:kern w:val="0"/>
          <w:sz w:val="32"/>
          <w:szCs w:val="32"/>
        </w:rPr>
        <w:t>无自有车辆；单价100万元（含）以上的设备</w:t>
      </w:r>
      <w:r>
        <w:rPr>
          <w:rFonts w:ascii="方正仿宋_GBK" w:eastAsia="方正仿宋_GBK" w:hint="eastAsia"/>
          <w:kern w:val="0"/>
          <w:sz w:val="32"/>
          <w:szCs w:val="32"/>
        </w:rPr>
        <w:t>6</w:t>
      </w:r>
      <w:r>
        <w:rPr>
          <w:rFonts w:eastAsia="方正仿宋_GBK" w:hint="eastAsia"/>
          <w:kern w:val="0"/>
          <w:sz w:val="32"/>
          <w:szCs w:val="32"/>
        </w:rPr>
        <w:t>台（套）。</w:t>
      </w:r>
    </w:p>
    <w:p>
      <w:pPr>
        <w:autoSpaceDN w:val="0"/>
        <w:spacing w:line="560" w:lineRule="exact"/>
        <w:ind w:firstLineChars="200" w:firstLine="420"/>
        <w:rPr>
          <w:rFonts w:ascii="方正楷体_GBK" w:eastAsia="方正楷体_GBK" w:cs="Times New Roman"/>
          <w:b/>
          <w:bCs/>
          <w:sz w:val="32"/>
          <w:szCs w:val="32"/>
        </w:rPr>
      </w:pPr>
      <w:r>
        <w:rPr>
          <w:rFonts w:hint="eastAsia"/>
        </w:rPr>
        <w:t xml:space="preserve">   </w:t>
      </w:r>
      <w:r>
        <w:rPr>
          <w:rFonts w:ascii="方正楷体_GBK" w:eastAsia="方正楷体_GBK" w:cs="Times New Roman" w:hint="eastAsia"/>
          <w:b/>
          <w:bCs/>
          <w:sz w:val="32"/>
          <w:szCs w:val="32"/>
        </w:rPr>
        <w:t>十、预算绩效情况说明</w:t>
      </w:r>
    </w:p>
    <w:p>
      <w:pPr>
        <w:autoSpaceDN w:val="0"/>
        <w:spacing w:line="560" w:lineRule="exact"/>
        <w:ind w:firstLineChars="200" w:firstLine="640"/>
        <w:rPr>
          <w:rFonts w:ascii="Calibri" w:eastAsia="方正仿宋_GBK" w:cs="Times New Roman" w:hAnsi="Calibri"/>
          <w:kern w:val="0"/>
          <w:sz w:val="32"/>
          <w:szCs w:val="32"/>
        </w:rPr>
      </w:pPr>
      <w:r>
        <w:rPr>
          <w:rFonts w:ascii="Calibri" w:eastAsia="方正仿宋_GBK" w:cs="Times New Roman" w:hAnsi="Calibri" w:hint="eastAsia"/>
          <w:kern w:val="0"/>
          <w:sz w:val="32"/>
          <w:szCs w:val="32"/>
        </w:rPr>
        <w:t>1.预算绩效管理工作开展情况。根据预算绩效管理工作要求，技术中心组织对2022年度一般公共预算项目支出全面开展绩效自评，其中，一级项目4个，二级项目9个，共涉及资金644.79万元，占一般公共预算项目支出总额的100%。</w:t>
      </w:r>
    </w:p>
    <w:p>
      <w:pPr>
        <w:autoSpaceDN w:val="0"/>
        <w:spacing w:line="560" w:lineRule="exact"/>
        <w:ind w:firstLineChars="200" w:firstLine="640"/>
        <w:rPr>
          <w:rFonts w:ascii="Calibri" w:eastAsia="方正仿宋_GBK" w:cs="Times New Roman" w:hAnsi="Calibri"/>
          <w:kern w:val="0"/>
          <w:sz w:val="32"/>
          <w:szCs w:val="32"/>
        </w:rPr>
      </w:pPr>
      <w:r>
        <w:rPr>
          <w:rFonts w:ascii="Calibri" w:eastAsia="方正仿宋_GBK" w:cs="Times New Roman" w:hAnsi="Calibri" w:hint="eastAsia"/>
          <w:kern w:val="0"/>
          <w:sz w:val="32"/>
          <w:szCs w:val="32"/>
        </w:rPr>
        <w:t>2.部门评价项目绩效评价结果。我中心2022年在中央部门决算中反映海关综合业务管理专项、海关业务保障及能力提升专项、海关仪器设备购置专项、海关资产及专用设备运行维护费、防止境外疫情输入专项、进出口食品及化妆品安全专项、进出口商品质量安全检验监管专项、国门生物安全专项、口岸公共卫生安全专项等9个一般公共预算项目绩效自评结果。</w:t>
      </w:r>
    </w:p>
    <w:p>
      <w:pPr>
        <w:autoSpaceDN w:val="0"/>
        <w:spacing w:line="560" w:lineRule="exact"/>
        <w:ind w:firstLineChars="200" w:firstLine="640"/>
        <w:rPr>
          <w:rFonts w:ascii="Calibri" w:eastAsia="方正仿宋_GBK" w:cs="Times New Roman" w:hAnsi="Calibri"/>
          <w:kern w:val="0"/>
          <w:sz w:val="32"/>
          <w:szCs w:val="32"/>
        </w:rPr>
      </w:pPr>
      <w:r>
        <w:rPr>
          <w:rFonts w:ascii="Calibri" w:eastAsia="方正仿宋_GBK" w:cs="Times New Roman" w:hAnsi="Calibri" w:hint="eastAsia"/>
          <w:kern w:val="0"/>
          <w:sz w:val="32"/>
          <w:szCs w:val="32"/>
        </w:rPr>
        <w:t>海关综合业务管理专项项目绩效自评综述：根据年初设定的绩效目标，项目自评得分100分。全年预算数6万元，执行数为6万元，完成预算的100%。项目绩效目标完成情况：完成3项获立项的技术规范的立项目标内容，组织开展实验室间的协同验证和数据分析，对专家的征求意见稿的修改完善，提交技术规范送审稿，达到技术规范送审率100%，技术规范及时率100%，技术规范使用对象满意度100%。</w:t>
      </w:r>
    </w:p>
    <w:p>
      <w:pPr>
        <w:autoSpaceDN w:val="0"/>
        <w:spacing w:line="560" w:lineRule="exact"/>
        <w:ind w:firstLineChars="200" w:firstLine="640"/>
        <w:rPr>
          <w:rFonts w:ascii="Calibri" w:eastAsia="方正仿宋_GBK" w:cs="Times New Roman" w:hAnsi="Calibri"/>
          <w:kern w:val="0"/>
          <w:sz w:val="32"/>
          <w:szCs w:val="32"/>
        </w:rPr>
      </w:pPr>
      <w:r>
        <w:rPr>
          <w:rFonts w:ascii="Calibri" w:eastAsia="方正仿宋_GBK" w:cs="Times New Roman" w:hAnsi="Calibri" w:hint="eastAsia"/>
          <w:kern w:val="0"/>
          <w:sz w:val="32"/>
          <w:szCs w:val="32"/>
        </w:rPr>
        <w:t>海关业务保障及能力提升专项项目绩效自评综述：根据年初设定的绩效目标，项目自评得分99.5分。全年预算数69万元，执行数为69万元，完成预算的100%。项目绩效目标完成情况：公开选拔聘用人员3人；组织实施了保障法检所需的试剂耗材采购，保障了关区内法检工作的顺利开展。发现的主要问题及解决措施：因疫情原因，法检年初预计数量相对较低，同时因技术中心法检任务来源于各隶属关，检测批次数由各个隶属关实际送样决定，技术中心无法进行准确预估；下一步我中心将加强跟隶属关的沟通交流，及时了解业务动态，提高预估准确性。</w:t>
      </w:r>
    </w:p>
    <w:p>
      <w:pPr>
        <w:autoSpaceDN w:val="0"/>
        <w:spacing w:line="560" w:lineRule="exact"/>
        <w:ind w:firstLineChars="200" w:firstLine="640"/>
        <w:rPr>
          <w:rFonts w:ascii="Calibri" w:eastAsia="方正仿宋_GBK" w:cs="Times New Roman" w:hAnsi="Calibri"/>
          <w:kern w:val="0"/>
          <w:sz w:val="32"/>
          <w:szCs w:val="32"/>
        </w:rPr>
      </w:pPr>
      <w:r>
        <w:rPr>
          <w:rFonts w:ascii="Calibri" w:eastAsia="方正仿宋_GBK" w:cs="Times New Roman" w:hAnsi="Calibri" w:hint="eastAsia"/>
          <w:kern w:val="0"/>
          <w:sz w:val="32"/>
          <w:szCs w:val="32"/>
        </w:rPr>
        <w:t>海关仪器设备购置专项项目绩效自评综述：根据年初设定的绩效目标，项目自评得分100分。全年预算数64万元，执行数为64万元，完成预算的100%。项目绩效目标完成情况：完成3台仪器设备采购，完善硬件设施设备储备，为后续开展检测工作提供支持，切实提高工作效率。</w:t>
      </w:r>
    </w:p>
    <w:p>
      <w:pPr>
        <w:autoSpaceDN w:val="0"/>
        <w:spacing w:line="560" w:lineRule="exact"/>
        <w:ind w:firstLineChars="200" w:firstLine="640"/>
        <w:rPr>
          <w:rFonts w:ascii="Calibri" w:eastAsia="方正仿宋_GBK" w:cs="Times New Roman" w:hAnsi="Calibri"/>
          <w:kern w:val="0"/>
          <w:sz w:val="32"/>
          <w:szCs w:val="32"/>
        </w:rPr>
      </w:pPr>
      <w:r>
        <w:rPr>
          <w:rFonts w:ascii="Calibri" w:eastAsia="方正仿宋_GBK" w:cs="Times New Roman" w:hAnsi="Calibri" w:hint="eastAsia"/>
          <w:kern w:val="0"/>
          <w:sz w:val="32"/>
          <w:szCs w:val="32"/>
        </w:rPr>
        <w:t>海关资产及专用设备运行维护费项目绩效自评综述：根据年初设定的绩效目标，项目自评得分100分。全年预算数40万元，执行数为40万元，完成预算的100%。项目绩效目标完成情况：完成182台套设备维修和计量，维修及时率100%,实现投入使用的计量设备计量比例100%，计量设备计量校准及时率100%，保证设备正常运行，保证检测结果准确可靠。</w:t>
      </w:r>
    </w:p>
    <w:p>
      <w:pPr>
        <w:autoSpaceDN w:val="0"/>
        <w:spacing w:line="560" w:lineRule="exact"/>
        <w:ind w:firstLineChars="200" w:firstLine="640"/>
        <w:rPr>
          <w:rFonts w:ascii="Calibri" w:eastAsia="方正仿宋_GBK" w:cs="Times New Roman" w:hAnsi="Calibri"/>
          <w:kern w:val="0"/>
          <w:sz w:val="32"/>
          <w:szCs w:val="32"/>
        </w:rPr>
      </w:pPr>
      <w:r>
        <w:rPr>
          <w:rFonts w:ascii="Calibri" w:eastAsia="方正仿宋_GBK" w:cs="Times New Roman" w:hAnsi="Calibri" w:hint="eastAsia"/>
          <w:kern w:val="0"/>
          <w:sz w:val="32"/>
          <w:szCs w:val="32"/>
        </w:rPr>
        <w:t>防止境外疫情输入专项项目绩效自评综述：根据设定的绩效目标，项目自评得分100分。全年预算数1.5万元，执行数为1.5万元，完成预算的100%。项目绩效目标完成情况：完成2台仪器设备的采购，并及时验收投入使用，提升了实验室检验检测的硬件水平，改善了实验室的空气环境。</w:t>
      </w:r>
    </w:p>
    <w:p>
      <w:pPr>
        <w:autoSpaceDN w:val="0"/>
        <w:spacing w:line="560" w:lineRule="exact"/>
        <w:ind w:firstLineChars="200" w:firstLine="640"/>
        <w:rPr>
          <w:rFonts w:ascii="Calibri" w:eastAsia="方正仿宋_GBK" w:cs="Times New Roman" w:hAnsi="Calibri"/>
          <w:kern w:val="0"/>
          <w:sz w:val="32"/>
          <w:szCs w:val="32"/>
        </w:rPr>
      </w:pPr>
      <w:r>
        <w:rPr>
          <w:rFonts w:ascii="Calibri" w:eastAsia="方正仿宋_GBK" w:cs="Times New Roman" w:hAnsi="Calibri" w:hint="eastAsia"/>
          <w:kern w:val="0"/>
          <w:sz w:val="32"/>
          <w:szCs w:val="32"/>
        </w:rPr>
        <w:t>进出口食品及化妆品安全专项项目绩效自评综述：根据年初设定的绩效目标，项目自评得分100分。全年预算数43万元，执行数为43万元，完成预算的100%。项目绩效目标完成情况：按时完成了年度进出口食品化妆品安全检测任务，为关区食品化妆品安全把关，食品、化妆品进出口法定样品实验室检验及时率100%。</w:t>
      </w:r>
    </w:p>
    <w:p>
      <w:pPr>
        <w:autoSpaceDN w:val="0"/>
        <w:spacing w:line="560" w:lineRule="exact"/>
        <w:ind w:firstLineChars="200" w:firstLine="640"/>
        <w:rPr>
          <w:rFonts w:ascii="Calibri" w:eastAsia="方正仿宋_GBK" w:cs="Times New Roman" w:hAnsi="Calibri"/>
          <w:kern w:val="0"/>
          <w:sz w:val="32"/>
          <w:szCs w:val="32"/>
        </w:rPr>
      </w:pPr>
      <w:r>
        <w:rPr>
          <w:rFonts w:ascii="Calibri" w:eastAsia="方正仿宋_GBK" w:cs="Times New Roman" w:hAnsi="Calibri" w:hint="eastAsia"/>
          <w:kern w:val="0"/>
          <w:sz w:val="32"/>
          <w:szCs w:val="32"/>
        </w:rPr>
        <w:t>进出口商品质量安全检验监管专项项目绩效自评综述：根据年初设定的绩效目标，项目自评得分100分。全年预算数280.72万元，执行数为280.72万元，完成预算的100%。项目绩效目标完成情况：完成4249条进出口商品质量安全风险信息收集；完成进出口商品风险监测或风险验证210批次；编制风险分析报告或评估报告12份；完成12次能力验证； 100%完成进出口法检商品检验任务；在一定程度上提升了进口商品质量安全水平和出口商品质量竞争水平，维护进出口商品质量安全，系统性、区域性质量安全事件0发生。</w:t>
      </w:r>
    </w:p>
    <w:p>
      <w:pPr>
        <w:autoSpaceDN w:val="0"/>
        <w:spacing w:line="560" w:lineRule="exact"/>
        <w:ind w:firstLineChars="200" w:firstLine="640"/>
        <w:rPr>
          <w:rFonts w:ascii="Calibri" w:eastAsia="方正仿宋_GBK" w:cs="Times New Roman" w:hAnsi="Calibri"/>
          <w:kern w:val="0"/>
          <w:sz w:val="32"/>
          <w:szCs w:val="32"/>
        </w:rPr>
      </w:pPr>
      <w:r>
        <w:rPr>
          <w:rFonts w:ascii="Calibri" w:eastAsia="方正仿宋_GBK" w:cs="Times New Roman" w:hAnsi="Calibri" w:hint="eastAsia"/>
          <w:kern w:val="0"/>
          <w:sz w:val="32"/>
          <w:szCs w:val="32"/>
        </w:rPr>
        <w:t>国门生物安全专项项目绩效自评综述：根据年初设定的绩效目标，项目自评得分99.5分。全年预算数125.6万元，执行数为125.6万元，完成预算的100%。项目绩效目标完成情况：全年完成进出境动植物疫病及有害生物检测1727批，有效满足了进出口动物及动物产品检疫、口岸/边境疫情监控、濒危动物及其制品鉴定需求，有效控制重大动植物疫情疫病和有毒有害物质传入传出；参加能力验证16次，以保持和提升实验室检测技术能力；检出检疫性有害生物13批，并对首次检出的哈氏弓背蚁开展了1次专家咨询工作；为动植物及产品进出口提供了安全保障，为综合防控提供了技术支持，有效保护了地方经济、生态安全。发现的主要问题及解决措施：因疫情原因，年度检测业务量年初预计数量相对较低，同时因技术中心法检任务来源于各隶属关，检测批次数由各个隶属关实际送样决定，技术中心无法进行准确预估，因此实际完成值较年度指标值偏差过大；下一步我中心将加强跟隶属关的沟通交流，及时了解业务动态，提高预估准确性。</w:t>
      </w:r>
    </w:p>
    <w:p>
      <w:pPr>
        <w:autoSpaceDN w:val="0"/>
        <w:spacing w:line="560" w:lineRule="exact"/>
        <w:ind w:firstLineChars="200" w:firstLine="640"/>
        <w:rPr>
          <w:rFonts w:ascii="Calibri" w:eastAsia="方正仿宋_GBK" w:cs="Times New Roman" w:hAnsi="Calibri"/>
          <w:kern w:val="0"/>
          <w:sz w:val="32"/>
          <w:szCs w:val="32"/>
        </w:rPr>
      </w:pPr>
      <w:r>
        <w:rPr>
          <w:rFonts w:ascii="Calibri" w:eastAsia="方正仿宋_GBK" w:cs="Times New Roman" w:hAnsi="Calibri" w:hint="eastAsia"/>
          <w:kern w:val="0"/>
          <w:sz w:val="32"/>
          <w:szCs w:val="32"/>
        </w:rPr>
        <w:t>口岸公共卫生安全专项项目绩效自评综述：根据年初设定的绩效目标，项目自评得分100分。全年预算数14.97万元，执行数为14.97万元，完成预算的100%。项目绩效目标完成情况：开展了包括水质检测、公共卫生检测、食品检测在内的口岸食品卫生监督风险监控，合计366批，1020项，为重庆口岸卫生监督提供了技术保障；为口岸一线人员进行了餐饮食品及包装材料、公共场所监测、饮用水监测等技术培训，维护了口岸安全，保护人体健康和经济健康发展。</w:t>
      </w:r>
    </w:p>
    <w:p>
      <w:pPr>
        <w:widowControl/>
        <w:jc w:val="left"/>
      </w:pPr>
    </w:p>
    <w:p/>
    <w:p>
      <w:r>
        <w:br w:type="page"/>
      </w:r>
    </w:p>
    <w:tbl>
      <w:tblPr>
        <w:jc w:val="left"/>
        <w:tblInd w:w="93" w:type="dxa"/>
        <w:tblW w:w="8662"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396"/>
        <w:gridCol w:w="924"/>
        <w:gridCol w:w="1209"/>
        <w:gridCol w:w="662"/>
        <w:gridCol w:w="1615"/>
        <w:gridCol w:w="576"/>
        <w:gridCol w:w="576"/>
        <w:gridCol w:w="666"/>
        <w:gridCol w:w="666"/>
        <w:gridCol w:w="236"/>
        <w:gridCol w:w="1136"/>
      </w:tblGrid>
      <w:tr>
        <w:trPr>
          <w:trHeight w:val="702"/>
        </w:trPr>
        <w:tc>
          <w:tcPr>
            <w:tcW w:w="8662" w:type="dxa"/>
            <w:gridSpan w:val="11"/>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项目支出绩效自评表</w:t>
            </w:r>
          </w:p>
        </w:tc>
      </w:tr>
      <w:tr>
        <w:trPr>
          <w:trHeight w:val="499"/>
        </w:trPr>
        <w:tc>
          <w:tcPr>
            <w:tcW w:w="8662" w:type="dxa"/>
            <w:gridSpan w:val="11"/>
            <w:tcBorders>
              <w:top w:val="nil"/>
              <w:left w:val="nil"/>
              <w:bottom w:val="nil"/>
              <w:right w:val="nil"/>
            </w:tcBorders>
            <w:shd w:val="clear" w:color="auto" w:fill="auto"/>
            <w:noWrap/>
            <w:vAlign w:val="center"/>
          </w:tcPr>
          <w:p>
            <w:pPr>
              <w:widowControl/>
              <w:jc w:val="center"/>
              <w:rPr>
                <w:rFonts w:ascii="宋体" w:eastAsia="宋体" w:cs="Arial"/>
                <w:kern w:val="0"/>
                <w:sz w:val="24"/>
                <w:szCs w:val="24"/>
              </w:rPr>
            </w:pPr>
            <w:r>
              <w:rPr>
                <w:rFonts w:ascii="宋体" w:eastAsia="宋体" w:cs="Arial" w:hint="eastAsia"/>
                <w:kern w:val="0"/>
                <w:sz w:val="24"/>
                <w:szCs w:val="24"/>
              </w:rPr>
              <w:t>(2022年度)</w:t>
            </w:r>
          </w:p>
        </w:tc>
      </w:tr>
      <w:tr>
        <w:trPr>
          <w:trHeight w:val="255"/>
        </w:trPr>
        <w:tc>
          <w:tcPr>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1136" w:type="dxa"/>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r>
      <w:tr>
        <w:trPr>
          <w:trHeight w:val="379"/>
        </w:trPr>
        <w:tc>
          <w:tcPr>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项目名称</w:t>
            </w:r>
          </w:p>
        </w:tc>
        <w:tc>
          <w:tcPr>
            <w:tcW w:w="7534"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海关综合业务管理专项</w:t>
            </w:r>
          </w:p>
        </w:tc>
      </w:tr>
      <w:tr>
        <w:trPr>
          <w:trHeight w:val="379"/>
        </w:trPr>
        <w:tc>
          <w:tcPr>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主管部门</w:t>
            </w:r>
          </w:p>
        </w:tc>
        <w:tc>
          <w:tcPr>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167 海关总署</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实施单位</w:t>
            </w:r>
          </w:p>
        </w:tc>
        <w:tc>
          <w:tcPr>
            <w:tcW w:w="484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重庆海关技术中心</w:t>
            </w:r>
          </w:p>
        </w:tc>
      </w:tr>
      <w:tr>
        <w:trPr>
          <w:trHeight w:val="379"/>
        </w:trPr>
        <w:tc>
          <w:tcPr>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项目资金（万元）</w:t>
            </w: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年初预算数</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全年预算数</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全年执行数</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执行率</w:t>
            </w:r>
          </w:p>
        </w:tc>
        <w:tc>
          <w:tcPr>
            <w:tcW w:w="1136" w:type="dxa"/>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r>
      <w:tr>
        <w:trPr>
          <w:trHeight w:val="379"/>
        </w:trPr>
        <w:tc>
          <w:tcPr>
            <w:gridSpan w:val="2"/>
            <w:vMerge/>
            <w:tcBorders>
              <w:top w:val="single" w:sz="4" w:space="0" w:color="000000"/>
              <w:left w:val="single" w:sz="4" w:space="0" w:color="000000"/>
              <w:bottom w:val="single" w:sz="4" w:space="0" w:color="000000"/>
              <w:right w:val="single" w:sz="4" w:space="0" w:color="000000"/>
            </w:tcBorders>
            <w:vAlign w:val="center"/>
          </w:tcP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年度资金总额：</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1136" w:type="dxa"/>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r>
      <w:tr>
        <w:trPr>
          <w:trHeight w:val="379"/>
        </w:trPr>
        <w:tc>
          <w:tcPr>
            <w:gridSpan w:val="2"/>
            <w:vMerge/>
            <w:tcBorders>
              <w:top w:val="single" w:sz="4" w:space="0" w:color="000000"/>
              <w:left w:val="single" w:sz="4" w:space="0" w:color="000000"/>
              <w:bottom w:val="single" w:sz="4" w:space="0" w:color="000000"/>
              <w:right w:val="single" w:sz="4" w:space="0" w:color="000000"/>
            </w:tcBorders>
            <w:vAlign w:val="center"/>
          </w:tcP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其中：财政拨款</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1136" w:type="dxa"/>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gridSpan w:val="2"/>
            <w:vMerge/>
            <w:tcBorders>
              <w:top w:val="single" w:sz="4" w:space="0" w:color="000000"/>
              <w:left w:val="single" w:sz="4" w:space="0" w:color="000000"/>
              <w:bottom w:val="single" w:sz="4" w:space="0" w:color="000000"/>
              <w:right w:val="single" w:sz="4" w:space="0" w:color="000000"/>
            </w:tcBorders>
            <w:vAlign w:val="center"/>
          </w:tcP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上年结转资金</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1136" w:type="dxa"/>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gridSpan w:val="2"/>
            <w:vMerge/>
            <w:tcBorders>
              <w:top w:val="single" w:sz="4" w:space="0" w:color="000000"/>
              <w:left w:val="single" w:sz="4" w:space="0" w:color="000000"/>
              <w:bottom w:val="single" w:sz="4" w:space="0" w:color="000000"/>
              <w:right w:val="single" w:sz="4" w:space="0" w:color="000000"/>
            </w:tcBorders>
            <w:vAlign w:val="center"/>
          </w:tcP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其他资金</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1136" w:type="dxa"/>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年度总体目标</w:t>
            </w:r>
          </w:p>
        </w:tc>
        <w:tc>
          <w:tcPr>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预期目标</w:t>
            </w:r>
          </w:p>
        </w:tc>
        <w:tc>
          <w:tcPr>
            <w:tcW w:w="484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实际完成情况</w:t>
            </w:r>
          </w:p>
        </w:tc>
      </w:tr>
      <w:tr>
        <w:trPr>
          <w:trHeight w:val="1593"/>
        </w:trPr>
        <w:tc>
          <w:tcPr>
            <w:vMerge/>
            <w:tcBorders>
              <w:top w:val="nil"/>
              <w:left w:val="single" w:sz="4" w:space="0" w:color="000000"/>
              <w:bottom w:val="single" w:sz="4" w:space="0" w:color="000000"/>
              <w:right w:val="single" w:sz="4" w:space="0" w:color="000000"/>
            </w:tcBorders>
            <w:vAlign w:val="center"/>
          </w:tcPr>
          <w:p/>
        </w:tc>
        <w:tc>
          <w:tcPr>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20"/>
                <w:szCs w:val="20"/>
              </w:rPr>
            </w:pPr>
            <w:r>
              <w:rPr>
                <w:rFonts w:ascii="宋体" w:eastAsia="宋体" w:cs="Arial" w:hint="eastAsia"/>
                <w:kern w:val="0"/>
                <w:sz w:val="20"/>
                <w:szCs w:val="20"/>
              </w:rPr>
              <w:t xml:space="preserve">完成获立项的技术规范的立项目标内容，组织开展实验室间的协同验证和数据分析，对专家的征求意见稿的修改完善，提交技术规范送审稿。 </w:t>
            </w:r>
          </w:p>
        </w:tc>
        <w:tc>
          <w:tcPr>
            <w:tcW w:w="484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20"/>
                <w:szCs w:val="20"/>
              </w:rPr>
            </w:pPr>
            <w:r>
              <w:rPr>
                <w:rFonts w:ascii="宋体" w:eastAsia="宋体" w:cs="Arial" w:hint="eastAsia"/>
                <w:kern w:val="0"/>
                <w:sz w:val="20"/>
                <w:szCs w:val="20"/>
              </w:rPr>
              <w:t xml:space="preserve">完成3项获立项的技术规范的立项目标内容，组织开展实验室间的协同验证和数据分析，对专家的征求意见稿的修改完善，提交技术规范送审稿，达到技术规范送审率100%，技术规范及时率100%，技术规范使用对象满意度100%。   </w:t>
            </w:r>
          </w:p>
        </w:tc>
      </w:tr>
      <w:tr>
        <w:trPr>
          <w:trHeight w:val="462"/>
        </w:trPr>
        <w:tc>
          <w:tcPr>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一级指标</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二级指标</w:t>
            </w: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三级指标</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年度指标值</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实际完成值</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c>
          <w:tcPr>
            <w:tcW w:w="1484"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偏差原因分析及改进措施</w:t>
            </w:r>
          </w:p>
        </w:tc>
      </w:tr>
      <w:tr>
        <w:trPr>
          <w:trHeight w:val="480"/>
        </w:trPr>
        <w:tc>
          <w:tcPr>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绩效指标</w:t>
            </w:r>
          </w:p>
        </w:tc>
        <w:tc>
          <w:tcPr>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产出指标</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数量指标</w:t>
            </w: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获立项并完成技术规范数量</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≥2项</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3项</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16.0 </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16.0 </w:t>
            </w:r>
          </w:p>
        </w:tc>
        <w:tc>
          <w:tcPr>
            <w:tcW w:w="1484"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255"/>
        </w:trPr>
        <w:tc>
          <w:tcPr>
            <w:vMerge/>
            <w:tcBorders>
              <w:top w:val="nil"/>
              <w:left w:val="single" w:sz="4" w:space="0" w:color="000000"/>
              <w:bottom w:val="single" w:sz="4" w:space="0" w:color="000000"/>
              <w:right w:val="single" w:sz="4" w:space="0" w:color="000000"/>
            </w:tcBorders>
            <w:vAlign w:val="center"/>
          </w:tcPr>
          <w:p/>
        </w:tc>
        <w:tc>
          <w:tcPr>
            <w:vMerge/>
            <w:tcBorders>
              <w:top w:val="nil"/>
              <w:left w:val="single" w:sz="4" w:space="0" w:color="000000"/>
              <w:bottom w:val="single" w:sz="4" w:space="0" w:color="000000"/>
              <w:right w:val="single" w:sz="4" w:space="0" w:color="000000"/>
            </w:tcBorders>
            <w:vAlign w:val="center"/>
          </w:tcP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技术规范完成送审率</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16.0 </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16.0 </w:t>
            </w:r>
          </w:p>
        </w:tc>
        <w:tc>
          <w:tcPr>
            <w:tcW w:w="1484"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255"/>
        </w:trPr>
        <w:tc>
          <w:tcPr>
            <w:vMerge/>
            <w:tcBorders>
              <w:top w:val="nil"/>
              <w:left w:val="single" w:sz="4" w:space="0" w:color="000000"/>
              <w:bottom w:val="single" w:sz="4" w:space="0" w:color="000000"/>
              <w:right w:val="single" w:sz="4" w:space="0" w:color="000000"/>
            </w:tcBorders>
            <w:vAlign w:val="center"/>
          </w:tcPr>
          <w:p/>
        </w:tc>
        <w:tc>
          <w:tcPr>
            <w:vMerge/>
            <w:tcBorders>
              <w:top w:val="nil"/>
              <w:left w:val="single" w:sz="4" w:space="0" w:color="000000"/>
              <w:bottom w:val="single" w:sz="4" w:space="0" w:color="000000"/>
              <w:right w:val="single" w:sz="4" w:space="0" w:color="000000"/>
            </w:tcBorders>
            <w:vAlign w:val="center"/>
          </w:tcP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时效指标</w:t>
            </w: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技术规范完成及时率</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18.0 </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18.0 </w:t>
            </w:r>
          </w:p>
        </w:tc>
        <w:tc>
          <w:tcPr>
            <w:tcW w:w="1484"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vMerge/>
            <w:tcBorders>
              <w:top w:val="nil"/>
              <w:left w:val="single" w:sz="4" w:space="0" w:color="000000"/>
              <w:bottom w:val="single" w:sz="4" w:space="0" w:color="000000"/>
              <w:right w:val="single" w:sz="4" w:space="0" w:color="000000"/>
            </w:tcBorders>
            <w:vAlign w:val="center"/>
          </w:tcP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效益指标</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社会效益指标</w:t>
            </w: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重庆海关（关区）技术规范基础保障能力</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稳定</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稳定</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30.0 </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30.0 </w:t>
            </w:r>
          </w:p>
        </w:tc>
        <w:tc>
          <w:tcPr>
            <w:tcW w:w="1484"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20"/>
        </w:trPr>
        <w:tc>
          <w:tcPr>
            <w:vMerge/>
            <w:tcBorders>
              <w:top w:val="nil"/>
              <w:left w:val="single" w:sz="4" w:space="0" w:color="000000"/>
              <w:bottom w:val="single" w:sz="4" w:space="0" w:color="000000"/>
              <w:right w:val="single" w:sz="4" w:space="0" w:color="000000"/>
            </w:tcBorders>
            <w:vAlign w:val="center"/>
          </w:tcP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满意度指标</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服务对象满意度指标</w:t>
            </w:r>
          </w:p>
        </w:tc>
        <w:tc>
          <w:tcPr>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技术规范使用对象满意度</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1484"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379"/>
        </w:trPr>
        <w:tc>
          <w:tcPr>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总分</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1484"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bl>
    <w:p/>
    <w:p>
      <w:pPr>
        <w:widowControl/>
        <w:jc w:val="left"/>
      </w:pPr>
      <w:r>
        <w:br w:type="page"/>
      </w:r>
    </w:p>
    <w:tbl>
      <w:tblPr>
        <w:jc w:val="left"/>
        <w:tblW w:w="5303"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396"/>
        <w:gridCol w:w="638"/>
        <w:gridCol w:w="644"/>
        <w:gridCol w:w="721"/>
        <w:gridCol w:w="152"/>
        <w:gridCol w:w="660"/>
        <w:gridCol w:w="240"/>
        <w:gridCol w:w="573"/>
        <w:gridCol w:w="544"/>
        <w:gridCol w:w="577"/>
        <w:gridCol w:w="665"/>
        <w:gridCol w:w="577"/>
        <w:gridCol w:w="130"/>
        <w:gridCol w:w="381"/>
        <w:gridCol w:w="595"/>
        <w:gridCol w:w="1547"/>
      </w:tblGrid>
      <w:tr>
        <w:trPr>
          <w:trHeight w:val="702"/>
        </w:trPr>
        <w:tc>
          <w:tcPr>
            <w:tcW w:w="5000" w:type="pct"/>
            <w:gridSpan w:val="16"/>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项目支出绩效自评表</w:t>
            </w:r>
          </w:p>
        </w:tc>
      </w:tr>
      <w:tr>
        <w:trPr>
          <w:trHeight w:val="499"/>
        </w:trPr>
        <w:tc>
          <w:tcPr>
            <w:tcW w:w="5000" w:type="pct"/>
            <w:gridSpan w:val="16"/>
            <w:tcBorders>
              <w:top w:val="nil"/>
              <w:left w:val="nil"/>
              <w:bottom w:val="nil"/>
              <w:right w:val="nil"/>
            </w:tcBorders>
            <w:shd w:val="clear" w:color="auto" w:fill="auto"/>
            <w:noWrap/>
            <w:vAlign w:val="center"/>
          </w:tcPr>
          <w:p>
            <w:pPr>
              <w:widowControl/>
              <w:jc w:val="center"/>
              <w:rPr>
                <w:rFonts w:ascii="宋体" w:eastAsia="宋体" w:cs="Arial"/>
                <w:kern w:val="0"/>
                <w:sz w:val="24"/>
                <w:szCs w:val="24"/>
              </w:rPr>
            </w:pPr>
            <w:r>
              <w:rPr>
                <w:rFonts w:ascii="宋体" w:eastAsia="宋体" w:cs="Arial" w:hint="eastAsia"/>
                <w:kern w:val="0"/>
                <w:sz w:val="24"/>
                <w:szCs w:val="24"/>
              </w:rPr>
              <w:t>(2022年度)</w:t>
            </w:r>
          </w:p>
        </w:tc>
      </w:tr>
      <w:tr>
        <w:trPr>
          <w:trHeight w:val="255"/>
        </w:trPr>
        <w:tc>
          <w:tcPr>
            <w:tcW w:w="219"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53"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56"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99"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49"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50"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620"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68"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19"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283"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1184"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r>
      <w:tr>
        <w:trPr>
          <w:trHeight w:val="379"/>
        </w:trPr>
        <w:tc>
          <w:tcPr>
            <w:tcW w:w="57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项目名称</w:t>
            </w:r>
          </w:p>
        </w:tc>
        <w:tc>
          <w:tcPr>
            <w:tcW w:w="4428" w:type="pct"/>
            <w:gridSpan w:val="1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海关业务保障及能力提升专项</w:t>
            </w:r>
          </w:p>
        </w:tc>
      </w:tr>
      <w:tr>
        <w:trPr>
          <w:trHeight w:val="379"/>
        </w:trPr>
        <w:tc>
          <w:tcPr>
            <w:tcW w:w="57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主管部门</w:t>
            </w:r>
          </w:p>
        </w:tc>
        <w:tc>
          <w:tcPr>
            <w:tcW w:w="1336"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167 海关总署</w:t>
            </w:r>
          </w:p>
        </w:tc>
        <w:tc>
          <w:tcPr>
            <w:tcW w:w="61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实施单位</w:t>
            </w:r>
          </w:p>
        </w:tc>
        <w:tc>
          <w:tcPr>
            <w:tcW w:w="2473"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重庆海关技术中心</w:t>
            </w:r>
          </w:p>
        </w:tc>
      </w:tr>
      <w:tr>
        <w:trPr>
          <w:trHeight w:val="379"/>
        </w:trPr>
        <w:tc>
          <w:tcPr>
            <w:tcW w:w="57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项目资金（万元）</w:t>
            </w:r>
          </w:p>
        </w:tc>
        <w:tc>
          <w:tcPr>
            <w:tcW w:w="83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49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年初预算数</w:t>
            </w:r>
          </w:p>
        </w:tc>
        <w:tc>
          <w:tcPr>
            <w:tcW w:w="61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全年预算数</w:t>
            </w:r>
          </w:p>
        </w:tc>
        <w:tc>
          <w:tcPr>
            <w:tcW w:w="68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全年执行数</w:t>
            </w:r>
          </w:p>
        </w:tc>
        <w:tc>
          <w:tcPr>
            <w:tcW w:w="391"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540"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执行率</w:t>
            </w:r>
          </w:p>
        </w:tc>
        <w:tc>
          <w:tcPr>
            <w:tcW w:w="8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r>
      <w:tr>
        <w:trPr>
          <w:trHeight w:val="379"/>
        </w:trPr>
        <w:tc>
          <w:tcPr>
            <w:tcW w:w="572"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3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年度资金总额：</w:t>
            </w:r>
          </w:p>
        </w:tc>
        <w:tc>
          <w:tcPr>
            <w:tcW w:w="49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69.00</w:t>
            </w:r>
          </w:p>
        </w:tc>
        <w:tc>
          <w:tcPr>
            <w:tcW w:w="61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69.00</w:t>
            </w:r>
          </w:p>
        </w:tc>
        <w:tc>
          <w:tcPr>
            <w:tcW w:w="68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69.00</w:t>
            </w:r>
          </w:p>
        </w:tc>
        <w:tc>
          <w:tcPr>
            <w:tcW w:w="391"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540"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8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r>
      <w:tr>
        <w:trPr>
          <w:trHeight w:val="379"/>
        </w:trPr>
        <w:tc>
          <w:tcPr>
            <w:tcW w:w="572"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3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其中：财政拨款</w:t>
            </w:r>
          </w:p>
        </w:tc>
        <w:tc>
          <w:tcPr>
            <w:tcW w:w="49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69.00</w:t>
            </w:r>
          </w:p>
        </w:tc>
        <w:tc>
          <w:tcPr>
            <w:tcW w:w="61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69.00</w:t>
            </w:r>
          </w:p>
        </w:tc>
        <w:tc>
          <w:tcPr>
            <w:tcW w:w="68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69.00</w:t>
            </w:r>
          </w:p>
        </w:tc>
        <w:tc>
          <w:tcPr>
            <w:tcW w:w="391"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40"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8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572"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3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上年结转资金</w:t>
            </w:r>
          </w:p>
        </w:tc>
        <w:tc>
          <w:tcPr>
            <w:tcW w:w="49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1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8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391"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40"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8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572"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3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其他资金</w:t>
            </w:r>
          </w:p>
        </w:tc>
        <w:tc>
          <w:tcPr>
            <w:tcW w:w="49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1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8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391"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40"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8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219"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年度总体目标</w:t>
            </w:r>
          </w:p>
        </w:tc>
        <w:tc>
          <w:tcPr>
            <w:tcW w:w="2308" w:type="pct"/>
            <w:gridSpan w:val="8"/>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预期目标</w:t>
            </w:r>
          </w:p>
        </w:tc>
        <w:tc>
          <w:tcPr>
            <w:tcW w:w="2473"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实际完成情况</w:t>
            </w:r>
          </w:p>
        </w:tc>
      </w:tr>
      <w:tr>
        <w:trPr>
          <w:trHeight w:val="3945"/>
        </w:trPr>
        <w:tc>
          <w:tcPr>
            <w:tcW w:w="219" w:type="pct"/>
            <w:vMerge/>
            <w:tcBorders>
              <w:top w:val="nil"/>
              <w:left w:val="single" w:sz="4" w:space="0" w:color="000000"/>
              <w:bottom w:val="single" w:sz="4" w:space="0" w:color="000000"/>
              <w:right w:val="single" w:sz="4" w:space="0" w:color="000000"/>
            </w:tcBorders>
            <w:vAlign w:val="center"/>
          </w:tcPr>
          <w:p/>
        </w:tc>
        <w:tc>
          <w:tcPr>
            <w:tcW w:w="2308" w:type="pct"/>
            <w:gridSpan w:val="8"/>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20"/>
                <w:szCs w:val="20"/>
              </w:rPr>
            </w:pPr>
            <w:r>
              <w:rPr>
                <w:rFonts w:ascii="宋体" w:eastAsia="宋体" w:cs="Arial" w:hint="eastAsia"/>
                <w:kern w:val="0"/>
                <w:sz w:val="20"/>
                <w:szCs w:val="20"/>
              </w:rPr>
              <w:t>1.在现有临聘人员中优化配置，进行一定人才选拔，减少人员流动性，降低人才流失可能性，加大工资福利保障。</w:t>
              <w:br/>
              <w:t>2.采购必须试剂药品，保障法定检验所需。</w:t>
              <w:br/>
              <w:t>3.保障重庆海关法定检验检测额工作顺利开展。</w:t>
              <w:br/>
              <w:t>4.完成2次实验室认证认可评审，加强实验室建设，扩展检测/校准范围，进行实验室CNAS评审，实现检测/校准扩项。</w:t>
              <w:br/>
              <w:t>6.加强人员能力提升，提高检测/校准业务水平，组织学习、培训、调研不少于10人次。</w:t>
              <w:br/>
              <w:t>7.完成日常检测/校准工作，参加外部质量控制活动，进行相关能力验证不少于40次。</w:t>
              <w:br/>
              <w:t>8.通过以上项目的实施，实验室能够有更广泛的检测/校准能力范围、更高的检测/校准水平、更快的检测/校准速度、更优质的人才配备，不断地实现技术提升以及能力储备，切实加强实验室建设。</w:t>
            </w:r>
          </w:p>
        </w:tc>
        <w:tc>
          <w:tcPr>
            <w:tcW w:w="2473" w:type="pct"/>
            <w:gridSpan w:val="7"/>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20"/>
                <w:szCs w:val="20"/>
              </w:rPr>
            </w:pPr>
            <w:r>
              <w:rPr>
                <w:rFonts w:ascii="宋体" w:eastAsia="宋体" w:cs="Arial" w:hint="eastAsia"/>
                <w:kern w:val="0"/>
                <w:sz w:val="20"/>
                <w:szCs w:val="20"/>
              </w:rPr>
              <w:t>1.在现有临聘人员中优化配置，进行一定人才选拔，聘用人员公开选拔共计新进3人。</w:t>
              <w:br/>
              <w:t>2.采购必须试剂药品共计12次，保障法定检验所需。</w:t>
              <w:br/>
              <w:t>3.保障重庆海关法定检验检测额工作顺利开展，共计完成5564批次。</w:t>
              <w:br/>
              <w:t>4.完成2次实验室认证认可评审，加强实验室建设，扩展检测/校准范围，进行实验室CNAS评审，实现检测/校准扩项。</w:t>
              <w:br/>
              <w:t>5.加强人员能力提升，提高检测/校准业务水平，组织学习、培训、调研共计13人次。</w:t>
              <w:br/>
              <w:t>6.完成日常检测/校准工作，参加外部质量控制活动，进行相关能力验证共计72次。</w:t>
              <w:br/>
              <w:t>7.通过以上项目的实施，实验室能够有更广泛的检测/校准能力范围、更高的检测/校准水平、更快的检测/校准速度、更优质的人才配备，不断地实现技术提升以及能力储备，切实加强实验室建设。</w:t>
            </w:r>
          </w:p>
        </w:tc>
      </w:tr>
      <w:tr>
        <w:trPr>
          <w:trHeight w:val="462"/>
        </w:trPr>
        <w:tc>
          <w:tcPr>
            <w:tcW w:w="219" w:type="pc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35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一级指标</w:t>
            </w: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二级指标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三级指标</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年度指标值</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实际完成值</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偏差原因分析及改进措施</w:t>
            </w:r>
          </w:p>
        </w:tc>
      </w:tr>
      <w:tr>
        <w:trPr>
          <w:trHeight w:val="480"/>
        </w:trPr>
        <w:tc>
          <w:tcPr>
            <w:tcW w:w="219"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绩效指标</w:t>
            </w:r>
          </w:p>
        </w:tc>
        <w:tc>
          <w:tcPr>
            <w:tcW w:w="353"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产出指标</w:t>
            </w: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数量指标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实验室认证认可</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≥2次</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2次</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4.0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4.0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1500"/>
        </w:trPr>
        <w:tc>
          <w:tcPr>
            <w:tcW w:w="219" w:type="pct"/>
            <w:vMerge/>
            <w:tcBorders>
              <w:top w:val="nil"/>
              <w:left w:val="single" w:sz="4" w:space="0" w:color="000000"/>
              <w:bottom w:val="single" w:sz="4" w:space="0" w:color="000000"/>
              <w:right w:val="single" w:sz="4" w:space="0" w:color="000000"/>
            </w:tcBorders>
            <w:vAlign w:val="center"/>
          </w:tcPr>
          <w:p/>
        </w:tc>
        <w:tc>
          <w:tcPr>
            <w:tcW w:w="353" w:type="pct"/>
            <w:vMerge/>
            <w:tcBorders>
              <w:top w:val="nil"/>
              <w:left w:val="single" w:sz="4" w:space="0" w:color="000000"/>
              <w:bottom w:val="single" w:sz="4" w:space="0" w:color="000000"/>
              <w:right w:val="single" w:sz="4" w:space="0" w:color="000000"/>
            </w:tcBorders>
            <w:vAlign w:val="center"/>
          </w:tcP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数量指标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法检</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≥2000批次</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5564批次</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4.0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3.5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技术中心法检任务来源于各隶属关，检测批次数由各个隶属关实际送样决定，技术中心无法进行准确预估。下一步我中心将加强跟隶属关的沟通交流，及时了解业务动态，提高预估准确性。</w:t>
            </w:r>
          </w:p>
        </w:tc>
      </w:tr>
      <w:tr>
        <w:trPr>
          <w:trHeight w:val="255"/>
        </w:trPr>
        <w:tc>
          <w:tcPr>
            <w:tcW w:w="219" w:type="pct"/>
            <w:vMerge/>
            <w:tcBorders>
              <w:top w:val="nil"/>
              <w:left w:val="single" w:sz="4" w:space="0" w:color="000000"/>
              <w:bottom w:val="single" w:sz="4" w:space="0" w:color="000000"/>
              <w:right w:val="single" w:sz="4" w:space="0" w:color="000000"/>
            </w:tcBorders>
            <w:vAlign w:val="center"/>
          </w:tcPr>
          <w:p/>
        </w:tc>
        <w:tc>
          <w:tcPr>
            <w:tcW w:w="353" w:type="pct"/>
            <w:vMerge/>
            <w:tcBorders>
              <w:top w:val="nil"/>
              <w:left w:val="single" w:sz="4" w:space="0" w:color="000000"/>
              <w:bottom w:val="single" w:sz="4" w:space="0" w:color="000000"/>
              <w:right w:val="single" w:sz="4" w:space="0" w:color="000000"/>
            </w:tcBorders>
            <w:vAlign w:val="center"/>
          </w:tcP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数量指标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派员学习、培训</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≥10次</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13次</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4.0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4.0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255"/>
        </w:trPr>
        <w:tc>
          <w:tcPr>
            <w:tcW w:w="219" w:type="pct"/>
            <w:vMerge/>
            <w:tcBorders>
              <w:top w:val="nil"/>
              <w:left w:val="single" w:sz="4" w:space="0" w:color="000000"/>
              <w:bottom w:val="single" w:sz="4" w:space="0" w:color="000000"/>
              <w:right w:val="single" w:sz="4" w:space="0" w:color="000000"/>
            </w:tcBorders>
            <w:vAlign w:val="center"/>
          </w:tcPr>
          <w:p/>
        </w:tc>
        <w:tc>
          <w:tcPr>
            <w:tcW w:w="353" w:type="pct"/>
            <w:vMerge/>
            <w:tcBorders>
              <w:top w:val="nil"/>
              <w:left w:val="single" w:sz="4" w:space="0" w:color="000000"/>
              <w:bottom w:val="single" w:sz="4" w:space="0" w:color="000000"/>
              <w:right w:val="single" w:sz="4" w:space="0" w:color="000000"/>
            </w:tcBorders>
            <w:vAlign w:val="center"/>
          </w:tcP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数量指标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能力验证</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≥40次</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72次</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4.0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4.0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300"/>
        </w:trPr>
        <w:tc>
          <w:tcPr>
            <w:tcW w:w="219" w:type="pct"/>
            <w:vMerge/>
            <w:tcBorders>
              <w:top w:val="nil"/>
              <w:left w:val="single" w:sz="4" w:space="0" w:color="000000"/>
              <w:bottom w:val="single" w:sz="4" w:space="0" w:color="000000"/>
              <w:right w:val="single" w:sz="4" w:space="0" w:color="000000"/>
            </w:tcBorders>
            <w:vAlign w:val="center"/>
          </w:tcPr>
          <w:p/>
        </w:tc>
        <w:tc>
          <w:tcPr>
            <w:tcW w:w="353" w:type="pct"/>
            <w:vMerge/>
            <w:tcBorders>
              <w:top w:val="nil"/>
              <w:left w:val="single" w:sz="4" w:space="0" w:color="000000"/>
              <w:bottom w:val="single" w:sz="4" w:space="0" w:color="000000"/>
              <w:right w:val="single" w:sz="4" w:space="0" w:color="000000"/>
            </w:tcBorders>
            <w:vAlign w:val="center"/>
          </w:tcP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数量指标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试剂药品采购</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≥12次</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12次</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4.0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4.0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255"/>
        </w:trPr>
        <w:tc>
          <w:tcPr>
            <w:tcW w:w="219" w:type="pct"/>
            <w:vMerge/>
            <w:tcBorders>
              <w:top w:val="nil"/>
              <w:left w:val="single" w:sz="4" w:space="0" w:color="000000"/>
              <w:bottom w:val="single" w:sz="4" w:space="0" w:color="000000"/>
              <w:right w:val="single" w:sz="4" w:space="0" w:color="000000"/>
            </w:tcBorders>
            <w:vAlign w:val="center"/>
          </w:tcPr>
          <w:p/>
        </w:tc>
        <w:tc>
          <w:tcPr>
            <w:tcW w:w="353" w:type="pct"/>
            <w:vMerge/>
            <w:tcBorders>
              <w:top w:val="nil"/>
              <w:left w:val="single" w:sz="4" w:space="0" w:color="000000"/>
              <w:bottom w:val="single" w:sz="4" w:space="0" w:color="000000"/>
              <w:right w:val="single" w:sz="4" w:space="0" w:color="000000"/>
            </w:tcBorders>
            <w:vAlign w:val="center"/>
          </w:tcP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学习培训结果合格率</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19" w:type="pct"/>
            <w:vMerge/>
            <w:tcBorders>
              <w:top w:val="nil"/>
              <w:left w:val="single" w:sz="4" w:space="0" w:color="000000"/>
              <w:bottom w:val="single" w:sz="4" w:space="0" w:color="000000"/>
              <w:right w:val="single" w:sz="4" w:space="0" w:color="000000"/>
            </w:tcBorders>
            <w:vAlign w:val="center"/>
          </w:tcPr>
          <w:p/>
        </w:tc>
        <w:tc>
          <w:tcPr>
            <w:tcW w:w="353" w:type="pct"/>
            <w:vMerge/>
            <w:tcBorders>
              <w:top w:val="nil"/>
              <w:left w:val="single" w:sz="4" w:space="0" w:color="000000"/>
              <w:bottom w:val="single" w:sz="4" w:space="0" w:color="000000"/>
              <w:right w:val="single" w:sz="4" w:space="0" w:color="000000"/>
            </w:tcBorders>
            <w:vAlign w:val="center"/>
          </w:tcP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实验室认证认可结果合格率</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19" w:type="pct"/>
            <w:vMerge/>
            <w:tcBorders>
              <w:top w:val="nil"/>
              <w:left w:val="single" w:sz="4" w:space="0" w:color="000000"/>
              <w:bottom w:val="single" w:sz="4" w:space="0" w:color="000000"/>
              <w:right w:val="single" w:sz="4" w:space="0" w:color="000000"/>
            </w:tcBorders>
            <w:vAlign w:val="center"/>
          </w:tcPr>
          <w:p/>
        </w:tc>
        <w:tc>
          <w:tcPr>
            <w:tcW w:w="353" w:type="pct"/>
            <w:vMerge/>
            <w:tcBorders>
              <w:top w:val="nil"/>
              <w:left w:val="single" w:sz="4" w:space="0" w:color="000000"/>
              <w:bottom w:val="single" w:sz="4" w:space="0" w:color="000000"/>
              <w:right w:val="single" w:sz="4" w:space="0" w:color="000000"/>
            </w:tcBorders>
            <w:vAlign w:val="center"/>
          </w:tcP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检验检测任务按时完成率</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360"/>
        </w:trPr>
        <w:tc>
          <w:tcPr>
            <w:tcW w:w="219" w:type="pct"/>
            <w:vMerge/>
            <w:tcBorders>
              <w:top w:val="nil"/>
              <w:left w:val="single" w:sz="4" w:space="0" w:color="000000"/>
              <w:bottom w:val="single" w:sz="4" w:space="0" w:color="000000"/>
              <w:right w:val="single" w:sz="4" w:space="0" w:color="000000"/>
            </w:tcBorders>
            <w:vAlign w:val="center"/>
          </w:tcPr>
          <w:p/>
        </w:tc>
        <w:tc>
          <w:tcPr>
            <w:tcW w:w="353" w:type="pct"/>
            <w:vMerge/>
            <w:tcBorders>
              <w:top w:val="nil"/>
              <w:left w:val="single" w:sz="4" w:space="0" w:color="000000"/>
              <w:bottom w:val="single" w:sz="4" w:space="0" w:color="000000"/>
              <w:right w:val="single" w:sz="4" w:space="0" w:color="000000"/>
            </w:tcBorders>
            <w:vAlign w:val="center"/>
          </w:tcP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聘用人员公开选拔结果</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≥2人</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3人</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255"/>
        </w:trPr>
        <w:tc>
          <w:tcPr>
            <w:tcW w:w="219" w:type="pct"/>
            <w:vMerge/>
            <w:tcBorders>
              <w:top w:val="nil"/>
              <w:left w:val="single" w:sz="4" w:space="0" w:color="000000"/>
              <w:bottom w:val="single" w:sz="4" w:space="0" w:color="000000"/>
              <w:right w:val="single" w:sz="4" w:space="0" w:color="000000"/>
            </w:tcBorders>
            <w:vAlign w:val="center"/>
          </w:tcPr>
          <w:p/>
        </w:tc>
        <w:tc>
          <w:tcPr>
            <w:tcW w:w="353" w:type="pct"/>
            <w:vMerge/>
            <w:tcBorders>
              <w:top w:val="nil"/>
              <w:left w:val="single" w:sz="4" w:space="0" w:color="000000"/>
              <w:bottom w:val="single" w:sz="4" w:space="0" w:color="000000"/>
              <w:right w:val="single" w:sz="4" w:space="0" w:color="000000"/>
            </w:tcBorders>
            <w:vAlign w:val="center"/>
          </w:tcP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能力验证结果合格率</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19" w:type="pct"/>
            <w:vMerge/>
            <w:tcBorders>
              <w:top w:val="nil"/>
              <w:left w:val="single" w:sz="4" w:space="0" w:color="000000"/>
              <w:bottom w:val="single" w:sz="4" w:space="0" w:color="000000"/>
              <w:right w:val="single" w:sz="4" w:space="0" w:color="000000"/>
            </w:tcBorders>
            <w:vAlign w:val="center"/>
          </w:tcPr>
          <w:p/>
        </w:tc>
        <w:tc>
          <w:tcPr>
            <w:tcW w:w="353" w:type="pct"/>
            <w:vMerge/>
            <w:tcBorders>
              <w:top w:val="nil"/>
              <w:left w:val="single" w:sz="4" w:space="0" w:color="000000"/>
              <w:bottom w:val="single" w:sz="4" w:space="0" w:color="000000"/>
              <w:right w:val="single" w:sz="4" w:space="0" w:color="000000"/>
            </w:tcBorders>
            <w:vAlign w:val="center"/>
          </w:tcP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试剂药品等耗材验收合格率</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19" w:type="pct"/>
            <w:vMerge/>
            <w:tcBorders>
              <w:top w:val="nil"/>
              <w:left w:val="single" w:sz="4" w:space="0" w:color="000000"/>
              <w:bottom w:val="single" w:sz="4" w:space="0" w:color="000000"/>
              <w:right w:val="single" w:sz="4" w:space="0" w:color="000000"/>
            </w:tcBorders>
            <w:vAlign w:val="center"/>
          </w:tcPr>
          <w:p/>
        </w:tc>
        <w:tc>
          <w:tcPr>
            <w:tcW w:w="353"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效益指标</w:t>
            </w: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社会效益指标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保障检验结果的准确度</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19" w:type="pct"/>
            <w:vMerge/>
            <w:tcBorders>
              <w:top w:val="nil"/>
              <w:left w:val="single" w:sz="4" w:space="0" w:color="000000"/>
              <w:bottom w:val="single" w:sz="4" w:space="0" w:color="000000"/>
              <w:right w:val="single" w:sz="4" w:space="0" w:color="000000"/>
            </w:tcBorders>
            <w:vAlign w:val="center"/>
          </w:tcPr>
          <w:p/>
        </w:tc>
        <w:tc>
          <w:tcPr>
            <w:tcW w:w="353" w:type="pct"/>
            <w:vMerge/>
            <w:tcBorders>
              <w:top w:val="nil"/>
              <w:left w:val="single" w:sz="4" w:space="0" w:color="000000"/>
              <w:bottom w:val="single" w:sz="4" w:space="0" w:color="000000"/>
              <w:right w:val="single" w:sz="4" w:space="0" w:color="000000"/>
            </w:tcBorders>
            <w:vAlign w:val="center"/>
          </w:tcP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社会效益指标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海关检测/校准技术水平保障能力</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有所提升</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有所提升</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20"/>
        </w:trPr>
        <w:tc>
          <w:tcPr>
            <w:tcW w:w="219" w:type="pct"/>
            <w:vMerge/>
            <w:tcBorders>
              <w:top w:val="nil"/>
              <w:left w:val="single" w:sz="4" w:space="0" w:color="000000"/>
              <w:bottom w:val="single" w:sz="4" w:space="0" w:color="000000"/>
              <w:right w:val="single" w:sz="4" w:space="0" w:color="000000"/>
            </w:tcBorders>
            <w:vAlign w:val="center"/>
          </w:tcPr>
          <w:p/>
        </w:tc>
        <w:tc>
          <w:tcPr>
            <w:tcW w:w="35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满意度指标</w:t>
            </w: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服务对象满意度指标</w:t>
            </w:r>
          </w:p>
        </w:tc>
        <w:tc>
          <w:tcPr>
            <w:tcW w:w="847"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满意度调查</w:t>
            </w:r>
          </w:p>
        </w:tc>
        <w:tc>
          <w:tcPr>
            <w:tcW w:w="751"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≥95%</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379"/>
        </w:trPr>
        <w:tc>
          <w:tcPr>
            <w:tcW w:w="2845"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总分</w:t>
            </w:r>
          </w:p>
        </w:tc>
        <w:tc>
          <w:tcPr>
            <w:tcW w:w="368"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31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99.5 </w:t>
            </w:r>
          </w:p>
        </w:tc>
        <w:tc>
          <w:tcPr>
            <w:tcW w:w="14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bl>
    <w:p>
      <w:pPr>
        <w:widowControl/>
        <w:jc w:val="left"/>
      </w:pPr>
    </w:p>
    <w:p>
      <w:pPr>
        <w:widowControl/>
        <w:jc w:val="left"/>
      </w:pPr>
      <w:r>
        <w:br w:type="page"/>
      </w:r>
    </w:p>
    <w:tbl>
      <w:tblPr>
        <w:jc w:val="left"/>
        <w:tblW w:w="5220"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00"/>
        <w:gridCol w:w="571"/>
        <w:gridCol w:w="772"/>
        <w:gridCol w:w="210"/>
        <w:gridCol w:w="434"/>
        <w:gridCol w:w="128"/>
        <w:gridCol w:w="601"/>
        <w:gridCol w:w="254"/>
        <w:gridCol w:w="279"/>
        <w:gridCol w:w="1014"/>
        <w:gridCol w:w="265"/>
        <w:gridCol w:w="909"/>
        <w:gridCol w:w="224"/>
        <w:gridCol w:w="443"/>
        <w:gridCol w:w="269"/>
        <w:gridCol w:w="399"/>
        <w:gridCol w:w="429"/>
        <w:gridCol w:w="167"/>
        <w:gridCol w:w="1128"/>
      </w:tblGrid>
      <w:tr>
        <w:trPr>
          <w:trHeight w:val="702"/>
        </w:trPr>
        <w:tc>
          <w:tcPr>
            <w:tcW w:w="5000" w:type="pct"/>
            <w:gridSpan w:val="19"/>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项目支出绩效自评表</w:t>
            </w:r>
          </w:p>
        </w:tc>
      </w:tr>
      <w:tr>
        <w:trPr>
          <w:trHeight w:val="499"/>
        </w:trPr>
        <w:tc>
          <w:tcPr>
            <w:tcW w:w="5000" w:type="pct"/>
            <w:gridSpan w:val="19"/>
            <w:tcBorders>
              <w:top w:val="nil"/>
              <w:left w:val="nil"/>
              <w:bottom w:val="nil"/>
              <w:right w:val="nil"/>
            </w:tcBorders>
            <w:shd w:val="clear" w:color="auto" w:fill="auto"/>
            <w:noWrap/>
            <w:vAlign w:val="center"/>
          </w:tcPr>
          <w:p>
            <w:pPr>
              <w:widowControl/>
              <w:jc w:val="center"/>
              <w:rPr>
                <w:rFonts w:ascii="宋体" w:eastAsia="宋体" w:cs="Arial"/>
                <w:kern w:val="0"/>
                <w:sz w:val="24"/>
                <w:szCs w:val="24"/>
              </w:rPr>
            </w:pPr>
            <w:r>
              <w:rPr>
                <w:rFonts w:ascii="宋体" w:eastAsia="宋体" w:cs="Arial" w:hint="eastAsia"/>
                <w:kern w:val="0"/>
                <w:sz w:val="24"/>
                <w:szCs w:val="24"/>
              </w:rPr>
              <w:t>(2022年度)</w:t>
            </w:r>
          </w:p>
        </w:tc>
      </w:tr>
      <w:tr>
        <w:trPr>
          <w:trHeight w:val="255"/>
        </w:trPr>
        <w:tc>
          <w:tcPr>
            <w:tcW w:w="225"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21"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34"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62"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10"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870" w:type="pct"/>
            <w:gridSpan w:val="3"/>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660"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75"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75"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241"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728"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r>
      <w:tr>
        <w:trPr>
          <w:trHeight w:val="379"/>
        </w:trPr>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项目名称</w:t>
            </w:r>
          </w:p>
        </w:tc>
        <w:tc>
          <w:tcPr>
            <w:tcW w:w="4454" w:type="pct"/>
            <w:gridSpan w:val="17"/>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海关资产及专用设备运行维护费</w:t>
            </w:r>
          </w:p>
        </w:tc>
      </w:tr>
      <w:tr>
        <w:trPr>
          <w:trHeight w:val="379"/>
        </w:trPr>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主管部门</w:t>
            </w:r>
          </w:p>
        </w:tc>
        <w:tc>
          <w:tcPr>
            <w:tcW w:w="1506"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海关总署</w:t>
            </w:r>
          </w:p>
        </w:tc>
        <w:tc>
          <w:tcPr>
            <w:tcW w:w="71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实施单位</w:t>
            </w:r>
          </w:p>
        </w:tc>
        <w:tc>
          <w:tcPr>
            <w:tcW w:w="2229" w:type="pct"/>
            <w:gridSpan w:val="8"/>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重庆海关技术中心</w:t>
            </w:r>
          </w:p>
        </w:tc>
      </w:tr>
      <w:tr>
        <w:trPr>
          <w:trHeight w:val="379"/>
        </w:trPr>
        <w:tc>
          <w:tcPr>
            <w:tcW w:w="546"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项目资金（万元）</w:t>
            </w:r>
          </w:p>
        </w:tc>
        <w:tc>
          <w:tcPr>
            <w:tcW w:w="8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638"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年初预算数</w:t>
            </w:r>
          </w:p>
        </w:tc>
        <w:tc>
          <w:tcPr>
            <w:tcW w:w="71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全年预算数</w:t>
            </w:r>
          </w:p>
        </w:tc>
        <w:tc>
          <w:tcPr>
            <w:tcW w:w="63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全年执行数</w:t>
            </w:r>
          </w:p>
        </w:tc>
        <w:tc>
          <w:tcPr>
            <w:tcW w:w="40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55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执行率</w:t>
            </w:r>
          </w:p>
        </w:tc>
        <w:tc>
          <w:tcPr>
            <w:tcW w:w="634"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r>
      <w:tr>
        <w:trPr>
          <w:trHeight w:val="379"/>
        </w:trPr>
        <w:tc>
          <w:tcPr>
            <w:tcW w:w="546"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年度资金总额：</w:t>
            </w:r>
          </w:p>
        </w:tc>
        <w:tc>
          <w:tcPr>
            <w:tcW w:w="638"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40.00</w:t>
            </w:r>
          </w:p>
        </w:tc>
        <w:tc>
          <w:tcPr>
            <w:tcW w:w="71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40.00</w:t>
            </w:r>
          </w:p>
        </w:tc>
        <w:tc>
          <w:tcPr>
            <w:tcW w:w="63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40.00</w:t>
            </w:r>
          </w:p>
        </w:tc>
        <w:tc>
          <w:tcPr>
            <w:tcW w:w="40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55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634"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r>
      <w:tr>
        <w:trPr>
          <w:trHeight w:val="379"/>
        </w:trPr>
        <w:tc>
          <w:tcPr>
            <w:tcW w:w="546"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其中：财政拨款</w:t>
            </w:r>
          </w:p>
        </w:tc>
        <w:tc>
          <w:tcPr>
            <w:tcW w:w="638"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40.00</w:t>
            </w:r>
          </w:p>
        </w:tc>
        <w:tc>
          <w:tcPr>
            <w:tcW w:w="71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40.00</w:t>
            </w:r>
          </w:p>
        </w:tc>
        <w:tc>
          <w:tcPr>
            <w:tcW w:w="63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40.00</w:t>
            </w:r>
          </w:p>
        </w:tc>
        <w:tc>
          <w:tcPr>
            <w:tcW w:w="40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5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634"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546"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上年结转资金</w:t>
            </w:r>
          </w:p>
        </w:tc>
        <w:tc>
          <w:tcPr>
            <w:tcW w:w="638"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71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3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40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5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634"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546"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68"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其他资金</w:t>
            </w:r>
          </w:p>
        </w:tc>
        <w:tc>
          <w:tcPr>
            <w:tcW w:w="638"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718"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3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40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5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634"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225"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年度总体目标</w:t>
            </w:r>
          </w:p>
        </w:tc>
        <w:tc>
          <w:tcPr>
            <w:tcW w:w="2546" w:type="pct"/>
            <w:gridSpan w:val="10"/>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预期目标</w:t>
            </w:r>
          </w:p>
        </w:tc>
        <w:tc>
          <w:tcPr>
            <w:tcW w:w="2229" w:type="pct"/>
            <w:gridSpan w:val="8"/>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实际完成情况</w:t>
            </w:r>
          </w:p>
        </w:tc>
      </w:tr>
      <w:tr>
        <w:trPr>
          <w:trHeight w:val="6618"/>
        </w:trPr>
        <w:tc>
          <w:tcPr>
            <w:tcW w:w="225" w:type="pct"/>
            <w:vMerge/>
            <w:tcBorders>
              <w:top w:val="nil"/>
              <w:left w:val="single" w:sz="4" w:space="0" w:color="000000"/>
              <w:bottom w:val="single" w:sz="4" w:space="0" w:color="000000"/>
              <w:right w:val="single" w:sz="4" w:space="0" w:color="000000"/>
            </w:tcBorders>
            <w:vAlign w:val="center"/>
          </w:tcPr>
          <w:p/>
        </w:tc>
        <w:tc>
          <w:tcPr>
            <w:tcW w:w="2546" w:type="pct"/>
            <w:gridSpan w:val="10"/>
            <w:tcBorders>
              <w:top w:val="single" w:sz="4" w:space="0" w:color="000000"/>
              <w:left w:val="nil"/>
              <w:bottom w:val="single" w:sz="4" w:space="0" w:color="000000"/>
              <w:right w:val="single" w:sz="4" w:space="0" w:color="000000"/>
            </w:tcBorders>
            <w:shd w:val="clear" w:color="auto" w:fill="auto"/>
          </w:tcPr>
          <w:p>
            <w:pPr>
              <w:widowControl/>
              <w:spacing w:after="240"/>
              <w:jc w:val="left"/>
              <w:rPr>
                <w:rFonts w:ascii="宋体" w:eastAsia="宋体" w:cs="Arial"/>
                <w:kern w:val="0"/>
                <w:sz w:val="20"/>
                <w:szCs w:val="20"/>
              </w:rPr>
            </w:pPr>
            <w:r>
              <w:rPr>
                <w:rFonts w:ascii="宋体" w:eastAsia="宋体" w:cs="Arial" w:hint="eastAsia"/>
                <w:kern w:val="0"/>
                <w:sz w:val="20"/>
                <w:szCs w:val="20"/>
              </w:rPr>
              <w:t>1.通过对出现故障的通用设备和专用设备进行及时的维护、维修，确保投入检测的设备功能正常，检测结果准确可靠，为海关执法提供及时的技术保障，维修及时率98%。</w:t>
              <w:br/>
              <w:t>2.按照专用设备的检定周期及量值溯源要求，4月份和10月份开展仪器设备的检定校准，维持仪器的状态可信，通过仪器出具的检测结果准确可靠，为执法把关提供技术支持，实现投入使用的计量设备计量比例100%，计量设备计量校准及时率100%。</w:t>
              <w:br/>
              <w:t>3.设施维护管理，确保实验室场所设施安全、环境清洁，各功能区域正常运行，满足检测工作需要。</w:t>
              <w:br/>
              <w:t>4.通过对仪器设备的及时运维，设备使用者对设备维护的满意度达95%以上。</w:t>
              <w:br/>
              <w:t xml:space="preserve">5.通过对各类设备的运维，提高技术中心整体工作效率，缓解单位因人力资源不足与日益增长的检测工作量之间的矛盾，提升实验室设备现代化、科技化水平，保障技术能力。" </w:t>
            </w:r>
          </w:p>
        </w:tc>
        <w:tc>
          <w:tcPr>
            <w:tcW w:w="2229" w:type="pct"/>
            <w:gridSpan w:val="8"/>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20"/>
                <w:szCs w:val="20"/>
              </w:rPr>
            </w:pPr>
            <w:r>
              <w:rPr>
                <w:rFonts w:ascii="宋体" w:eastAsia="宋体" w:cs="Arial" w:hint="eastAsia"/>
                <w:kern w:val="0"/>
                <w:sz w:val="20"/>
                <w:szCs w:val="20"/>
              </w:rPr>
              <w:t>1.通过对出现故障的3台套通用设备和35台套专用设备进行及时的维护、维修，对20台套大型设备进行维保，确保投入检测的设备功能正常，检测结果准确可靠，为海关执法提供及时的技术保障，维修及时率100%。</w:t>
              <w:br/>
              <w:t>2.按照专用设备的检定周期及量值溯源要求，4月份和10月份开展仪器设备的检定校准共计数量124台套，维持仪器的状态可信，通过仪器出具的检测结果准确可靠，为执法把关提供技术支持，实现投入使用的计量设备计量比例100%，计量设备计量校准及时率100%。</w:t>
              <w:br/>
              <w:t>3.设施维护管理，确保实验室场所设施安全、环境清洁，各功能区域正常运行，满足检测工作需要。</w:t>
              <w:br/>
              <w:t>4.通过对仪器设备的及时运维，设备使用者对设备维护的满意度100%。</w:t>
              <w:br/>
              <w:t>5.通过对各类设备的运维，提高技术中心整体工作效率，缓解单位因人力资源不足与日益增长的检测工作量之间的矛盾，提升实验室设备现代化、科技化水平，保障技术能力。</w:t>
            </w:r>
          </w:p>
        </w:tc>
      </w:tr>
      <w:tr>
        <w:trPr>
          <w:trHeight w:val="462"/>
        </w:trPr>
        <w:tc>
          <w:tcPr>
            <w:tcW w:w="225" w:type="pc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32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一级指标</w:t>
            </w:r>
          </w:p>
        </w:tc>
        <w:tc>
          <w:tcPr>
            <w:tcW w:w="55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二级指标</w:t>
            </w:r>
          </w:p>
        </w:tc>
        <w:tc>
          <w:tcPr>
            <w:tcW w:w="79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三级指标</w:t>
            </w:r>
          </w:p>
        </w:tc>
        <w:tc>
          <w:tcPr>
            <w:tcW w:w="8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年度指标值</w:t>
            </w:r>
          </w:p>
        </w:tc>
        <w:tc>
          <w:tcPr>
            <w:tcW w:w="51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实际完成值</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c>
          <w:tcPr>
            <w:tcW w:w="968"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偏差原因分析及改进措施</w:t>
            </w:r>
          </w:p>
        </w:tc>
      </w:tr>
      <w:tr>
        <w:trPr>
          <w:trHeight w:val="480"/>
        </w:trPr>
        <w:tc>
          <w:tcPr>
            <w:tcW w:w="225"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绩效指标</w:t>
            </w:r>
          </w:p>
        </w:tc>
        <w:tc>
          <w:tcPr>
            <w:tcW w:w="321"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产出指标</w:t>
            </w:r>
          </w:p>
        </w:tc>
        <w:tc>
          <w:tcPr>
            <w:tcW w:w="55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数量指标</w:t>
            </w:r>
          </w:p>
        </w:tc>
        <w:tc>
          <w:tcPr>
            <w:tcW w:w="79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大型设备维保</w:t>
            </w:r>
          </w:p>
        </w:tc>
        <w:tc>
          <w:tcPr>
            <w:tcW w:w="8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≥20台套</w:t>
            </w:r>
          </w:p>
        </w:tc>
        <w:tc>
          <w:tcPr>
            <w:tcW w:w="51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20台套</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6.0 </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6.0 </w:t>
            </w:r>
          </w:p>
        </w:tc>
        <w:tc>
          <w:tcPr>
            <w:tcW w:w="968"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321" w:type="pct"/>
            <w:vMerge/>
            <w:tcBorders>
              <w:top w:val="nil"/>
              <w:left w:val="single" w:sz="4" w:space="0" w:color="000000"/>
              <w:bottom w:val="single" w:sz="4" w:space="0" w:color="000000"/>
              <w:right w:val="single" w:sz="4" w:space="0" w:color="000000"/>
            </w:tcBorders>
            <w:vAlign w:val="center"/>
          </w:tcPr>
          <w:p/>
        </w:tc>
        <w:tc>
          <w:tcPr>
            <w:tcW w:w="55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数量指标</w:t>
            </w:r>
          </w:p>
        </w:tc>
        <w:tc>
          <w:tcPr>
            <w:tcW w:w="79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计量设备及器具数量数量</w:t>
            </w:r>
          </w:p>
        </w:tc>
        <w:tc>
          <w:tcPr>
            <w:tcW w:w="8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≥100台套</w:t>
            </w:r>
          </w:p>
        </w:tc>
        <w:tc>
          <w:tcPr>
            <w:tcW w:w="51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124台套</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6.0 </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6.0 </w:t>
            </w:r>
          </w:p>
        </w:tc>
        <w:tc>
          <w:tcPr>
            <w:tcW w:w="968"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300"/>
        </w:trPr>
        <w:tc>
          <w:tcPr>
            <w:tcW w:w="225" w:type="pct"/>
            <w:vMerge/>
            <w:tcBorders>
              <w:top w:val="nil"/>
              <w:left w:val="single" w:sz="4" w:space="0" w:color="000000"/>
              <w:bottom w:val="single" w:sz="4" w:space="0" w:color="000000"/>
              <w:right w:val="single" w:sz="4" w:space="0" w:color="000000"/>
            </w:tcBorders>
            <w:vAlign w:val="center"/>
          </w:tcPr>
          <w:p/>
        </w:tc>
        <w:tc>
          <w:tcPr>
            <w:tcW w:w="321" w:type="pct"/>
            <w:vMerge/>
            <w:tcBorders>
              <w:top w:val="nil"/>
              <w:left w:val="single" w:sz="4" w:space="0" w:color="000000"/>
              <w:bottom w:val="single" w:sz="4" w:space="0" w:color="000000"/>
              <w:right w:val="single" w:sz="4" w:space="0" w:color="000000"/>
            </w:tcBorders>
            <w:vAlign w:val="center"/>
          </w:tcPr>
          <w:p/>
        </w:tc>
        <w:tc>
          <w:tcPr>
            <w:tcW w:w="55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数量指标</w:t>
            </w:r>
          </w:p>
        </w:tc>
        <w:tc>
          <w:tcPr>
            <w:tcW w:w="79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运维专用设备</w:t>
            </w:r>
          </w:p>
        </w:tc>
        <w:tc>
          <w:tcPr>
            <w:tcW w:w="8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≥18台套</w:t>
            </w:r>
          </w:p>
        </w:tc>
        <w:tc>
          <w:tcPr>
            <w:tcW w:w="51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35台套</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6.0 </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6.0 </w:t>
            </w:r>
          </w:p>
        </w:tc>
        <w:tc>
          <w:tcPr>
            <w:tcW w:w="968"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300"/>
        </w:trPr>
        <w:tc>
          <w:tcPr>
            <w:tcW w:w="225" w:type="pct"/>
            <w:vMerge/>
            <w:tcBorders>
              <w:top w:val="nil"/>
              <w:left w:val="single" w:sz="4" w:space="0" w:color="000000"/>
              <w:bottom w:val="single" w:sz="4" w:space="0" w:color="000000"/>
              <w:right w:val="single" w:sz="4" w:space="0" w:color="000000"/>
            </w:tcBorders>
            <w:vAlign w:val="center"/>
          </w:tcPr>
          <w:p/>
        </w:tc>
        <w:tc>
          <w:tcPr>
            <w:tcW w:w="321" w:type="pct"/>
            <w:vMerge/>
            <w:tcBorders>
              <w:top w:val="nil"/>
              <w:left w:val="single" w:sz="4" w:space="0" w:color="000000"/>
              <w:bottom w:val="single" w:sz="4" w:space="0" w:color="000000"/>
              <w:right w:val="single" w:sz="4" w:space="0" w:color="000000"/>
            </w:tcBorders>
            <w:vAlign w:val="center"/>
          </w:tcPr>
          <w:p/>
        </w:tc>
        <w:tc>
          <w:tcPr>
            <w:tcW w:w="55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数量指标</w:t>
            </w:r>
          </w:p>
        </w:tc>
        <w:tc>
          <w:tcPr>
            <w:tcW w:w="79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运维通用设备</w:t>
            </w:r>
          </w:p>
        </w:tc>
        <w:tc>
          <w:tcPr>
            <w:tcW w:w="8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≥2台套</w:t>
            </w:r>
          </w:p>
        </w:tc>
        <w:tc>
          <w:tcPr>
            <w:tcW w:w="51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3台套</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6.0 </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6.0 </w:t>
            </w:r>
          </w:p>
        </w:tc>
        <w:tc>
          <w:tcPr>
            <w:tcW w:w="968"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255"/>
        </w:trPr>
        <w:tc>
          <w:tcPr>
            <w:tcW w:w="225" w:type="pct"/>
            <w:vMerge/>
            <w:tcBorders>
              <w:top w:val="nil"/>
              <w:left w:val="single" w:sz="4" w:space="0" w:color="000000"/>
              <w:bottom w:val="single" w:sz="4" w:space="0" w:color="000000"/>
              <w:right w:val="single" w:sz="4" w:space="0" w:color="000000"/>
            </w:tcBorders>
            <w:vAlign w:val="center"/>
          </w:tcPr>
          <w:p/>
        </w:tc>
        <w:tc>
          <w:tcPr>
            <w:tcW w:w="321" w:type="pct"/>
            <w:vMerge/>
            <w:tcBorders>
              <w:top w:val="nil"/>
              <w:left w:val="single" w:sz="4" w:space="0" w:color="000000"/>
              <w:bottom w:val="single" w:sz="4" w:space="0" w:color="000000"/>
              <w:right w:val="single" w:sz="4" w:space="0" w:color="000000"/>
            </w:tcBorders>
            <w:vAlign w:val="center"/>
          </w:tcPr>
          <w:p/>
        </w:tc>
        <w:tc>
          <w:tcPr>
            <w:tcW w:w="55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79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专用设备正常使用率</w:t>
            </w:r>
          </w:p>
        </w:tc>
        <w:tc>
          <w:tcPr>
            <w:tcW w:w="8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51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6.0 </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6.0 </w:t>
            </w:r>
          </w:p>
        </w:tc>
        <w:tc>
          <w:tcPr>
            <w:tcW w:w="968"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321" w:type="pct"/>
            <w:vMerge/>
            <w:tcBorders>
              <w:top w:val="nil"/>
              <w:left w:val="single" w:sz="4" w:space="0" w:color="000000"/>
              <w:bottom w:val="single" w:sz="4" w:space="0" w:color="000000"/>
              <w:right w:val="single" w:sz="4" w:space="0" w:color="000000"/>
            </w:tcBorders>
            <w:vAlign w:val="center"/>
          </w:tcPr>
          <w:p/>
        </w:tc>
        <w:tc>
          <w:tcPr>
            <w:tcW w:w="55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79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投入使用的计量设备计量比例</w:t>
            </w:r>
          </w:p>
        </w:tc>
        <w:tc>
          <w:tcPr>
            <w:tcW w:w="8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51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6.0 </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6.0 </w:t>
            </w:r>
          </w:p>
        </w:tc>
        <w:tc>
          <w:tcPr>
            <w:tcW w:w="968"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255"/>
        </w:trPr>
        <w:tc>
          <w:tcPr>
            <w:tcW w:w="225" w:type="pct"/>
            <w:vMerge/>
            <w:tcBorders>
              <w:top w:val="nil"/>
              <w:left w:val="single" w:sz="4" w:space="0" w:color="000000"/>
              <w:bottom w:val="single" w:sz="4" w:space="0" w:color="000000"/>
              <w:right w:val="single" w:sz="4" w:space="0" w:color="000000"/>
            </w:tcBorders>
            <w:vAlign w:val="center"/>
          </w:tcPr>
          <w:p/>
        </w:tc>
        <w:tc>
          <w:tcPr>
            <w:tcW w:w="321" w:type="pct"/>
            <w:vMerge/>
            <w:tcBorders>
              <w:top w:val="nil"/>
              <w:left w:val="single" w:sz="4" w:space="0" w:color="000000"/>
              <w:bottom w:val="single" w:sz="4" w:space="0" w:color="000000"/>
              <w:right w:val="single" w:sz="4" w:space="0" w:color="000000"/>
            </w:tcBorders>
            <w:vAlign w:val="center"/>
          </w:tcPr>
          <w:p/>
        </w:tc>
        <w:tc>
          <w:tcPr>
            <w:tcW w:w="55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时效指标</w:t>
            </w:r>
          </w:p>
        </w:tc>
        <w:tc>
          <w:tcPr>
            <w:tcW w:w="79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大型设备维修及时率</w:t>
            </w:r>
          </w:p>
        </w:tc>
        <w:tc>
          <w:tcPr>
            <w:tcW w:w="8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≥98%</w:t>
            </w:r>
          </w:p>
        </w:tc>
        <w:tc>
          <w:tcPr>
            <w:tcW w:w="51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7.0 </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7.0 </w:t>
            </w:r>
          </w:p>
        </w:tc>
        <w:tc>
          <w:tcPr>
            <w:tcW w:w="968"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321" w:type="pct"/>
            <w:vMerge/>
            <w:tcBorders>
              <w:top w:val="nil"/>
              <w:left w:val="single" w:sz="4" w:space="0" w:color="000000"/>
              <w:bottom w:val="single" w:sz="4" w:space="0" w:color="000000"/>
              <w:right w:val="single" w:sz="4" w:space="0" w:color="000000"/>
            </w:tcBorders>
            <w:vAlign w:val="center"/>
          </w:tcPr>
          <w:p/>
        </w:tc>
        <w:tc>
          <w:tcPr>
            <w:tcW w:w="55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时效指标</w:t>
            </w:r>
          </w:p>
        </w:tc>
        <w:tc>
          <w:tcPr>
            <w:tcW w:w="79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计量设备计量校准及时率</w:t>
            </w:r>
          </w:p>
        </w:tc>
        <w:tc>
          <w:tcPr>
            <w:tcW w:w="8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51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7.0 </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7.0 </w:t>
            </w:r>
          </w:p>
        </w:tc>
        <w:tc>
          <w:tcPr>
            <w:tcW w:w="968"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32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效益指标</w:t>
            </w:r>
          </w:p>
        </w:tc>
        <w:tc>
          <w:tcPr>
            <w:tcW w:w="55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社会效益指标</w:t>
            </w:r>
          </w:p>
        </w:tc>
        <w:tc>
          <w:tcPr>
            <w:tcW w:w="79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重庆海关（关区）核心业务基础保障能力</w:t>
            </w:r>
          </w:p>
        </w:tc>
        <w:tc>
          <w:tcPr>
            <w:tcW w:w="8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稳定</w:t>
            </w:r>
          </w:p>
        </w:tc>
        <w:tc>
          <w:tcPr>
            <w:tcW w:w="51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稳定</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30.0 </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30.0 </w:t>
            </w:r>
          </w:p>
        </w:tc>
        <w:tc>
          <w:tcPr>
            <w:tcW w:w="968"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20"/>
        </w:trPr>
        <w:tc>
          <w:tcPr>
            <w:tcW w:w="225" w:type="pct"/>
            <w:vMerge/>
            <w:tcBorders>
              <w:top w:val="nil"/>
              <w:left w:val="single" w:sz="4" w:space="0" w:color="000000"/>
              <w:bottom w:val="single" w:sz="4" w:space="0" w:color="000000"/>
              <w:right w:val="single" w:sz="4" w:space="0" w:color="000000"/>
            </w:tcBorders>
            <w:vAlign w:val="center"/>
          </w:tcPr>
          <w:p/>
        </w:tc>
        <w:tc>
          <w:tcPr>
            <w:tcW w:w="32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满意度指标</w:t>
            </w:r>
          </w:p>
        </w:tc>
        <w:tc>
          <w:tcPr>
            <w:tcW w:w="55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服务对象满意度指标</w:t>
            </w:r>
          </w:p>
        </w:tc>
        <w:tc>
          <w:tcPr>
            <w:tcW w:w="79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设备使用人对维护后设备满意度</w:t>
            </w:r>
          </w:p>
        </w:tc>
        <w:tc>
          <w:tcPr>
            <w:tcW w:w="8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≥95%</w:t>
            </w:r>
          </w:p>
        </w:tc>
        <w:tc>
          <w:tcPr>
            <w:tcW w:w="51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968"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379"/>
        </w:trPr>
        <w:tc>
          <w:tcPr>
            <w:tcW w:w="3282"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总分</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37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968"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bl>
    <w:p>
      <w:pPr>
        <w:widowControl/>
        <w:jc w:val="left"/>
      </w:pPr>
    </w:p>
    <w:p>
      <w:pPr>
        <w:widowControl/>
        <w:jc w:val="left"/>
      </w:pPr>
      <w:r>
        <w:br w:type="page"/>
      </w:r>
    </w:p>
    <w:tbl>
      <w:tblPr>
        <w:jc w:val="left"/>
        <w:tblW w:w="5000"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396"/>
        <w:gridCol w:w="741"/>
        <w:gridCol w:w="740"/>
        <w:gridCol w:w="216"/>
        <w:gridCol w:w="612"/>
        <w:gridCol w:w="239"/>
        <w:gridCol w:w="697"/>
        <w:gridCol w:w="295"/>
        <w:gridCol w:w="641"/>
        <w:gridCol w:w="210"/>
        <w:gridCol w:w="1026"/>
        <w:gridCol w:w="670"/>
        <w:gridCol w:w="670"/>
        <w:gridCol w:w="564"/>
        <w:gridCol w:w="806"/>
      </w:tblGrid>
      <w:tr>
        <w:trPr>
          <w:trHeight w:val="698"/>
        </w:trPr>
        <w:tc>
          <w:tcPr>
            <w:tcW w:w="5000" w:type="pct"/>
            <w:gridSpan w:val="15"/>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项目支出绩效自评表</w:t>
            </w:r>
          </w:p>
        </w:tc>
      </w:tr>
      <w:tr>
        <w:trPr>
          <w:trHeight w:val="503"/>
        </w:trPr>
        <w:tc>
          <w:tcPr>
            <w:tcW w:w="5000" w:type="pct"/>
            <w:gridSpan w:val="15"/>
            <w:tcBorders>
              <w:top w:val="nil"/>
              <w:left w:val="nil"/>
              <w:bottom w:val="nil"/>
              <w:right w:val="nil"/>
            </w:tcBorders>
            <w:shd w:val="clear" w:color="auto" w:fill="auto"/>
            <w:noWrap/>
            <w:vAlign w:val="center"/>
          </w:tcPr>
          <w:p>
            <w:pPr>
              <w:widowControl/>
              <w:jc w:val="center"/>
              <w:rPr>
                <w:rFonts w:ascii="宋体" w:eastAsia="宋体" w:cs="Arial"/>
                <w:kern w:val="0"/>
                <w:sz w:val="24"/>
                <w:szCs w:val="24"/>
              </w:rPr>
            </w:pPr>
            <w:r>
              <w:rPr>
                <w:rFonts w:ascii="宋体" w:eastAsia="宋体" w:cs="Arial" w:hint="eastAsia"/>
                <w:kern w:val="0"/>
                <w:sz w:val="24"/>
                <w:szCs w:val="24"/>
              </w:rPr>
              <w:t>(2022年度)</w:t>
            </w:r>
          </w:p>
        </w:tc>
      </w:tr>
      <w:tr>
        <w:trPr>
          <w:trHeight w:val="255"/>
        </w:trPr>
        <w:tc>
          <w:tcPr>
            <w:tcW w:w="232"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34"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34"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86"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549"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549"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725"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93"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93"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31"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73"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r>
      <w:tr>
        <w:trPr>
          <w:trHeight w:val="383"/>
        </w:trPr>
        <w:tc>
          <w:tcPr>
            <w:tcW w:w="66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项目名称</w:t>
            </w:r>
          </w:p>
        </w:tc>
        <w:tc>
          <w:tcPr>
            <w:tcW w:w="4333" w:type="pct"/>
            <w:gridSpan w:val="1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防止境外疫情输入专项</w:t>
            </w:r>
          </w:p>
        </w:tc>
      </w:tr>
      <w:tr>
        <w:trPr>
          <w:trHeight w:val="383"/>
        </w:trPr>
        <w:tc>
          <w:tcPr>
            <w:tcW w:w="66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主管部门</w:t>
            </w:r>
          </w:p>
        </w:tc>
        <w:tc>
          <w:tcPr>
            <w:tcW w:w="1469"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672"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实施单位</w:t>
            </w:r>
          </w:p>
        </w:tc>
        <w:tc>
          <w:tcPr>
            <w:tcW w:w="2192"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重庆海关技术中心</w:t>
            </w:r>
          </w:p>
        </w:tc>
      </w:tr>
      <w:tr>
        <w:trPr>
          <w:trHeight w:val="383"/>
        </w:trPr>
        <w:tc>
          <w:tcPr>
            <w:tcW w:w="66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项目资金（万元）</w:t>
            </w:r>
          </w:p>
        </w:tc>
        <w:tc>
          <w:tcPr>
            <w:tcW w:w="1060"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40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年初预算数</w:t>
            </w:r>
          </w:p>
        </w:tc>
        <w:tc>
          <w:tcPr>
            <w:tcW w:w="672"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全年预算数</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全年执行数</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72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执行率</w:t>
            </w:r>
          </w:p>
        </w:tc>
        <w:tc>
          <w:tcPr>
            <w:tcW w:w="47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r>
      <w:tr>
        <w:trPr>
          <w:trHeight w:val="383"/>
        </w:trPr>
        <w:tc>
          <w:tcPr>
            <w:tcW w:w="667" w:type="pct"/>
            <w:gridSpan w:val="2"/>
            <w:vMerge/>
            <w:tcBorders>
              <w:top w:val="single" w:sz="4" w:space="0" w:color="000000"/>
              <w:left w:val="single" w:sz="4" w:space="0" w:color="000000"/>
              <w:bottom w:val="single" w:sz="4" w:space="0" w:color="000000"/>
              <w:right w:val="single" w:sz="4" w:space="0" w:color="000000"/>
            </w:tcBorders>
            <w:vAlign w:val="center"/>
          </w:tcPr>
          <w:p/>
        </w:tc>
        <w:tc>
          <w:tcPr>
            <w:tcW w:w="1060"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年度资金总额：</w:t>
            </w:r>
          </w:p>
        </w:tc>
        <w:tc>
          <w:tcPr>
            <w:tcW w:w="40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72"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1.50</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1.50</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72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47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r>
      <w:tr>
        <w:trPr>
          <w:trHeight w:val="383"/>
        </w:trPr>
        <w:tc>
          <w:tcPr>
            <w:tcW w:w="667" w:type="pct"/>
            <w:gridSpan w:val="2"/>
            <w:vMerge/>
            <w:tcBorders>
              <w:top w:val="single" w:sz="4" w:space="0" w:color="000000"/>
              <w:left w:val="single" w:sz="4" w:space="0" w:color="000000"/>
              <w:bottom w:val="single" w:sz="4" w:space="0" w:color="000000"/>
              <w:right w:val="single" w:sz="4" w:space="0" w:color="000000"/>
            </w:tcBorders>
            <w:vAlign w:val="center"/>
          </w:tcPr>
          <w:p/>
        </w:tc>
        <w:tc>
          <w:tcPr>
            <w:tcW w:w="1060"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其中：财政拨款</w:t>
            </w:r>
          </w:p>
        </w:tc>
        <w:tc>
          <w:tcPr>
            <w:tcW w:w="40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72"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1.50</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1.50</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72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47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83"/>
        </w:trPr>
        <w:tc>
          <w:tcPr>
            <w:tcW w:w="667" w:type="pct"/>
            <w:gridSpan w:val="2"/>
            <w:vMerge/>
            <w:tcBorders>
              <w:top w:val="single" w:sz="4" w:space="0" w:color="000000"/>
              <w:left w:val="single" w:sz="4" w:space="0" w:color="000000"/>
              <w:bottom w:val="single" w:sz="4" w:space="0" w:color="000000"/>
              <w:right w:val="single" w:sz="4" w:space="0" w:color="000000"/>
            </w:tcBorders>
            <w:vAlign w:val="center"/>
          </w:tcPr>
          <w:p/>
        </w:tc>
        <w:tc>
          <w:tcPr>
            <w:tcW w:w="1060"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上年结转资金</w:t>
            </w:r>
          </w:p>
        </w:tc>
        <w:tc>
          <w:tcPr>
            <w:tcW w:w="40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72"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72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47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83"/>
        </w:trPr>
        <w:tc>
          <w:tcPr>
            <w:tcW w:w="667" w:type="pct"/>
            <w:gridSpan w:val="2"/>
            <w:vMerge/>
            <w:tcBorders>
              <w:top w:val="single" w:sz="4" w:space="0" w:color="000000"/>
              <w:left w:val="single" w:sz="4" w:space="0" w:color="000000"/>
              <w:bottom w:val="single" w:sz="4" w:space="0" w:color="000000"/>
              <w:right w:val="single" w:sz="4" w:space="0" w:color="000000"/>
            </w:tcBorders>
            <w:vAlign w:val="center"/>
          </w:tcPr>
          <w:p/>
        </w:tc>
        <w:tc>
          <w:tcPr>
            <w:tcW w:w="1060"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其他资金</w:t>
            </w:r>
          </w:p>
        </w:tc>
        <w:tc>
          <w:tcPr>
            <w:tcW w:w="40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72"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72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47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83"/>
        </w:trPr>
        <w:tc>
          <w:tcPr>
            <w:tcW w:w="232"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年度总体目标</w:t>
            </w:r>
          </w:p>
        </w:tc>
        <w:tc>
          <w:tcPr>
            <w:tcW w:w="2576" w:type="pct"/>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预期目标</w:t>
            </w:r>
          </w:p>
        </w:tc>
        <w:tc>
          <w:tcPr>
            <w:tcW w:w="2192"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实际完成情况</w:t>
            </w:r>
          </w:p>
        </w:tc>
      </w:tr>
      <w:tr>
        <w:trPr>
          <w:trHeight w:val="1470"/>
        </w:trPr>
        <w:tc>
          <w:tcPr>
            <w:tcW w:w="232" w:type="pct"/>
            <w:vMerge/>
            <w:tcBorders>
              <w:top w:val="nil"/>
              <w:left w:val="single" w:sz="4" w:space="0" w:color="000000"/>
              <w:bottom w:val="single" w:sz="4" w:space="0" w:color="000000"/>
              <w:right w:val="single" w:sz="4" w:space="0" w:color="000000"/>
            </w:tcBorders>
            <w:vAlign w:val="center"/>
          </w:tcPr>
          <w:p/>
        </w:tc>
        <w:tc>
          <w:tcPr>
            <w:tcW w:w="2576" w:type="pct"/>
            <w:gridSpan w:val="9"/>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18"/>
                <w:szCs w:val="18"/>
              </w:rPr>
            </w:pPr>
            <w:r>
              <w:rPr>
                <w:rFonts w:ascii="宋体" w:eastAsia="宋体" w:cs="Arial" w:hint="eastAsia"/>
                <w:kern w:val="0"/>
                <w:sz w:val="18"/>
                <w:szCs w:val="18"/>
              </w:rPr>
              <w:t>1、完成设备采购，并顺利验收投入使用，提升实验室检测硬件水平，改善实验室空气环境。</w:t>
              <w:br/>
              <w:t xml:space="preserve">2、有效防范各类动物疫病传播，防范新冠疫情传播，确保国门安全。                </w:t>
            </w:r>
          </w:p>
        </w:tc>
        <w:tc>
          <w:tcPr>
            <w:tcW w:w="2192" w:type="pct"/>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18"/>
                <w:szCs w:val="18"/>
              </w:rPr>
            </w:pPr>
            <w:r>
              <w:rPr>
                <w:rFonts w:ascii="宋体" w:eastAsia="宋体" w:cs="Arial" w:hint="eastAsia"/>
                <w:kern w:val="0"/>
                <w:sz w:val="18"/>
                <w:szCs w:val="18"/>
              </w:rPr>
              <w:t>1、顺利完成2台仪器设备的采购，并及时验收投入使用，提升了实验室检验检测的硬件水平，改善了实验室的空气环境。</w:t>
              <w:br/>
              <w:t>2、提高了动物疫病检测的准确率，有效防范了各类动物疫病传播，防范了新冠疫情的传播，确保了国门安全。</w:t>
            </w:r>
          </w:p>
        </w:tc>
      </w:tr>
      <w:tr>
        <w:trPr>
          <w:trHeight w:val="458"/>
        </w:trPr>
        <w:tc>
          <w:tcPr>
            <w:tcW w:w="232" w:type="pc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434"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一级指标</w:t>
            </w:r>
          </w:p>
        </w:tc>
        <w:tc>
          <w:tcPr>
            <w:tcW w:w="561"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二级指标</w:t>
            </w:r>
          </w:p>
        </w:tc>
        <w:tc>
          <w:tcPr>
            <w:tcW w:w="1081"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三级指标</w:t>
            </w:r>
          </w:p>
        </w:tc>
        <w:tc>
          <w:tcPr>
            <w:tcW w:w="49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年度指标值</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实际完成值</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c>
          <w:tcPr>
            <w:tcW w:w="80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偏差原因分析及改进措施</w:t>
            </w:r>
          </w:p>
        </w:tc>
      </w:tr>
      <w:tr>
        <w:trPr>
          <w:trHeight w:val="480"/>
        </w:trPr>
        <w:tc>
          <w:tcPr>
            <w:tcW w:w="232"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绩效指标</w:t>
            </w:r>
          </w:p>
        </w:tc>
        <w:tc>
          <w:tcPr>
            <w:tcW w:w="434"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产出指标</w:t>
            </w:r>
          </w:p>
        </w:tc>
        <w:tc>
          <w:tcPr>
            <w:tcW w:w="561"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数量指标</w:t>
            </w:r>
          </w:p>
        </w:tc>
        <w:tc>
          <w:tcPr>
            <w:tcW w:w="1081"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购置仪器设备</w:t>
            </w:r>
          </w:p>
        </w:tc>
        <w:tc>
          <w:tcPr>
            <w:tcW w:w="49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＝2台</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2台</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20.0 </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20.0 </w:t>
            </w:r>
          </w:p>
        </w:tc>
        <w:tc>
          <w:tcPr>
            <w:tcW w:w="80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32" w:type="pct"/>
            <w:vMerge/>
            <w:tcBorders>
              <w:top w:val="nil"/>
              <w:left w:val="single" w:sz="4" w:space="0" w:color="000000"/>
              <w:bottom w:val="single" w:sz="4" w:space="0" w:color="000000"/>
              <w:right w:val="single" w:sz="4" w:space="0" w:color="000000"/>
            </w:tcBorders>
            <w:vAlign w:val="center"/>
          </w:tcPr>
          <w:p/>
        </w:tc>
        <w:tc>
          <w:tcPr>
            <w:tcW w:w="434" w:type="pct"/>
            <w:vMerge/>
            <w:tcBorders>
              <w:top w:val="nil"/>
              <w:left w:val="single" w:sz="4" w:space="0" w:color="000000"/>
              <w:bottom w:val="single" w:sz="4" w:space="0" w:color="000000"/>
              <w:right w:val="single" w:sz="4" w:space="0" w:color="000000"/>
            </w:tcBorders>
            <w:vAlign w:val="center"/>
          </w:tcPr>
          <w:p/>
        </w:tc>
        <w:tc>
          <w:tcPr>
            <w:tcW w:w="561"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1081"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完成当年主管部门下达的法定检验任务</w:t>
            </w:r>
          </w:p>
        </w:tc>
        <w:tc>
          <w:tcPr>
            <w:tcW w:w="49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20.0 </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20.0 </w:t>
            </w:r>
          </w:p>
        </w:tc>
        <w:tc>
          <w:tcPr>
            <w:tcW w:w="80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255"/>
        </w:trPr>
        <w:tc>
          <w:tcPr>
            <w:tcW w:w="232" w:type="pct"/>
            <w:vMerge/>
            <w:tcBorders>
              <w:top w:val="nil"/>
              <w:left w:val="single" w:sz="4" w:space="0" w:color="000000"/>
              <w:bottom w:val="single" w:sz="4" w:space="0" w:color="000000"/>
              <w:right w:val="single" w:sz="4" w:space="0" w:color="000000"/>
            </w:tcBorders>
            <w:vAlign w:val="center"/>
          </w:tcPr>
          <w:p/>
        </w:tc>
        <w:tc>
          <w:tcPr>
            <w:tcW w:w="434" w:type="pct"/>
            <w:vMerge/>
            <w:tcBorders>
              <w:top w:val="nil"/>
              <w:left w:val="single" w:sz="4" w:space="0" w:color="000000"/>
              <w:bottom w:val="single" w:sz="4" w:space="0" w:color="000000"/>
              <w:right w:val="single" w:sz="4" w:space="0" w:color="000000"/>
            </w:tcBorders>
            <w:vAlign w:val="center"/>
          </w:tcPr>
          <w:p/>
        </w:tc>
        <w:tc>
          <w:tcPr>
            <w:tcW w:w="561"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时效指标</w:t>
            </w:r>
          </w:p>
        </w:tc>
        <w:tc>
          <w:tcPr>
            <w:tcW w:w="1081"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仪器设备验收及时率</w:t>
            </w:r>
          </w:p>
        </w:tc>
        <w:tc>
          <w:tcPr>
            <w:tcW w:w="49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≥98%</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80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32" w:type="pct"/>
            <w:vMerge/>
            <w:tcBorders>
              <w:top w:val="nil"/>
              <w:left w:val="single" w:sz="4" w:space="0" w:color="000000"/>
              <w:bottom w:val="single" w:sz="4" w:space="0" w:color="000000"/>
              <w:right w:val="single" w:sz="4" w:space="0" w:color="000000"/>
            </w:tcBorders>
            <w:vAlign w:val="center"/>
          </w:tcPr>
          <w:p/>
        </w:tc>
        <w:tc>
          <w:tcPr>
            <w:tcW w:w="434"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效益指标</w:t>
            </w:r>
          </w:p>
        </w:tc>
        <w:tc>
          <w:tcPr>
            <w:tcW w:w="561"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社会效益指标</w:t>
            </w:r>
          </w:p>
        </w:tc>
        <w:tc>
          <w:tcPr>
            <w:tcW w:w="1081"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动物疫病检测准确率</w:t>
            </w:r>
          </w:p>
        </w:tc>
        <w:tc>
          <w:tcPr>
            <w:tcW w:w="49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80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32" w:type="pct"/>
            <w:vMerge/>
            <w:tcBorders>
              <w:top w:val="nil"/>
              <w:left w:val="single" w:sz="4" w:space="0" w:color="000000"/>
              <w:bottom w:val="single" w:sz="4" w:space="0" w:color="000000"/>
              <w:right w:val="single" w:sz="4" w:space="0" w:color="000000"/>
            </w:tcBorders>
            <w:vAlign w:val="center"/>
          </w:tcPr>
          <w:p/>
        </w:tc>
        <w:tc>
          <w:tcPr>
            <w:tcW w:w="434" w:type="pct"/>
            <w:vMerge/>
            <w:tcBorders>
              <w:top w:val="nil"/>
              <w:left w:val="single" w:sz="4" w:space="0" w:color="000000"/>
              <w:bottom w:val="single" w:sz="4" w:space="0" w:color="000000"/>
              <w:right w:val="single" w:sz="4" w:space="0" w:color="000000"/>
            </w:tcBorders>
            <w:vAlign w:val="center"/>
          </w:tcPr>
          <w:p/>
        </w:tc>
        <w:tc>
          <w:tcPr>
            <w:tcW w:w="561"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社会效益指标</w:t>
            </w:r>
          </w:p>
        </w:tc>
        <w:tc>
          <w:tcPr>
            <w:tcW w:w="1081"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有效防范新冠疫情，确保国门安全</w:t>
            </w:r>
          </w:p>
        </w:tc>
        <w:tc>
          <w:tcPr>
            <w:tcW w:w="49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80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20"/>
        </w:trPr>
        <w:tc>
          <w:tcPr>
            <w:tcW w:w="232" w:type="pct"/>
            <w:vMerge/>
            <w:tcBorders>
              <w:top w:val="nil"/>
              <w:left w:val="single" w:sz="4" w:space="0" w:color="000000"/>
              <w:bottom w:val="single" w:sz="4" w:space="0" w:color="000000"/>
              <w:right w:val="single" w:sz="4" w:space="0" w:color="000000"/>
            </w:tcBorders>
            <w:vAlign w:val="center"/>
          </w:tcPr>
          <w:p/>
        </w:tc>
        <w:tc>
          <w:tcPr>
            <w:tcW w:w="434"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满意度指标</w:t>
            </w:r>
          </w:p>
        </w:tc>
        <w:tc>
          <w:tcPr>
            <w:tcW w:w="561"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服务对象满意度指标</w:t>
            </w:r>
          </w:p>
        </w:tc>
        <w:tc>
          <w:tcPr>
            <w:tcW w:w="1081"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公众对检测工作满意度</w:t>
            </w:r>
          </w:p>
        </w:tc>
        <w:tc>
          <w:tcPr>
            <w:tcW w:w="49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≥95%</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80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383"/>
        </w:trPr>
        <w:tc>
          <w:tcPr>
            <w:tcW w:w="3410" w:type="pct"/>
            <w:gridSpan w:val="11"/>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总分</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39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80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bl>
    <w:p/>
    <w:p>
      <w:pPr>
        <w:widowControl/>
        <w:jc w:val="left"/>
      </w:pPr>
      <w:r>
        <w:br w:type="page"/>
      </w:r>
    </w:p>
    <w:tbl>
      <w:tblPr>
        <w:jc w:val="left"/>
        <w:tblW w:w="5000"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397"/>
        <w:gridCol w:w="724"/>
        <w:gridCol w:w="723"/>
        <w:gridCol w:w="249"/>
        <w:gridCol w:w="561"/>
        <w:gridCol w:w="247"/>
        <w:gridCol w:w="666"/>
        <w:gridCol w:w="228"/>
        <w:gridCol w:w="685"/>
        <w:gridCol w:w="308"/>
        <w:gridCol w:w="1140"/>
        <w:gridCol w:w="136"/>
        <w:gridCol w:w="569"/>
        <w:gridCol w:w="281"/>
        <w:gridCol w:w="424"/>
        <w:gridCol w:w="554"/>
        <w:gridCol w:w="629"/>
      </w:tblGrid>
      <w:tr>
        <w:trPr>
          <w:trHeight w:val="702"/>
        </w:trPr>
        <w:tc>
          <w:tcPr>
            <w:tcW w:w="5000" w:type="pct"/>
            <w:gridSpan w:val="17"/>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项目支出绩效自评表</w:t>
            </w:r>
          </w:p>
        </w:tc>
      </w:tr>
      <w:tr>
        <w:trPr>
          <w:trHeight w:val="499"/>
        </w:trPr>
        <w:tc>
          <w:tcPr>
            <w:tcW w:w="5000" w:type="pct"/>
            <w:gridSpan w:val="17"/>
            <w:tcBorders>
              <w:top w:val="nil"/>
              <w:left w:val="nil"/>
              <w:bottom w:val="nil"/>
              <w:right w:val="nil"/>
            </w:tcBorders>
            <w:shd w:val="clear" w:color="auto" w:fill="auto"/>
            <w:noWrap/>
            <w:vAlign w:val="center"/>
          </w:tcPr>
          <w:p>
            <w:pPr>
              <w:widowControl/>
              <w:jc w:val="center"/>
              <w:rPr>
                <w:rFonts w:ascii="宋体" w:eastAsia="宋体" w:cs="Arial"/>
                <w:kern w:val="0"/>
                <w:sz w:val="24"/>
                <w:szCs w:val="24"/>
              </w:rPr>
            </w:pPr>
            <w:r>
              <w:rPr>
                <w:rFonts w:ascii="宋体" w:eastAsia="宋体" w:cs="Arial" w:hint="eastAsia"/>
                <w:kern w:val="0"/>
                <w:sz w:val="24"/>
                <w:szCs w:val="24"/>
              </w:rPr>
              <w:t>(2022年度)</w:t>
            </w:r>
          </w:p>
        </w:tc>
      </w:tr>
      <w:tr>
        <w:trPr>
          <w:trHeight w:val="255"/>
        </w:trPr>
        <w:tc>
          <w:tcPr>
            <w:tcW w:w="233"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25"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24"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75"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536"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536"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850"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14"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14"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25"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69"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r>
      <w:tr>
        <w:trPr>
          <w:trHeight w:val="379"/>
        </w:trPr>
        <w:tc>
          <w:tcPr>
            <w:tcW w:w="6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项目名称</w:t>
            </w:r>
          </w:p>
        </w:tc>
        <w:tc>
          <w:tcPr>
            <w:tcW w:w="4342" w:type="pct"/>
            <w:gridSpan w:val="1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进出口食品及化妆品安全专项</w:t>
            </w:r>
          </w:p>
        </w:tc>
      </w:tr>
      <w:tr>
        <w:trPr>
          <w:trHeight w:val="379"/>
        </w:trPr>
        <w:tc>
          <w:tcPr>
            <w:tcW w:w="6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主管部门</w:t>
            </w:r>
          </w:p>
        </w:tc>
        <w:tc>
          <w:tcPr>
            <w:tcW w:w="1435"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167 海关总署</w:t>
            </w:r>
          </w:p>
        </w:tc>
        <w:tc>
          <w:tcPr>
            <w:tcW w:w="71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实施单位</w:t>
            </w:r>
          </w:p>
        </w:tc>
        <w:tc>
          <w:tcPr>
            <w:tcW w:w="2190"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重庆海关技术中心</w:t>
            </w:r>
          </w:p>
        </w:tc>
      </w:tr>
      <w:tr>
        <w:trPr>
          <w:trHeight w:val="379"/>
        </w:trPr>
        <w:tc>
          <w:tcPr>
            <w:tcW w:w="65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项目资金（万元）</w:t>
            </w:r>
          </w:p>
        </w:tc>
        <w:tc>
          <w:tcPr>
            <w:tcW w:w="1044"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39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年初预算数</w:t>
            </w:r>
          </w:p>
        </w:tc>
        <w:tc>
          <w:tcPr>
            <w:tcW w:w="71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全年预算数</w:t>
            </w:r>
          </w:p>
        </w:tc>
        <w:tc>
          <w:tcPr>
            <w:tcW w:w="74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全年执行数</w:t>
            </w:r>
          </w:p>
        </w:tc>
        <w:tc>
          <w:tcPr>
            <w:tcW w:w="49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57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执行率</w:t>
            </w:r>
          </w:p>
        </w:tc>
        <w:tc>
          <w:tcPr>
            <w:tcW w:w="36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r>
      <w:tr>
        <w:trPr>
          <w:trHeight w:val="379"/>
        </w:trPr>
        <w:tc>
          <w:tcPr>
            <w:tcW w:w="658" w:type="pct"/>
            <w:gridSpan w:val="2"/>
            <w:vMerge/>
            <w:tcBorders>
              <w:top w:val="single" w:sz="4" w:space="0" w:color="000000"/>
              <w:left w:val="single" w:sz="4" w:space="0" w:color="000000"/>
              <w:bottom w:val="single" w:sz="4" w:space="0" w:color="000000"/>
              <w:right w:val="single" w:sz="4" w:space="0" w:color="000000"/>
            </w:tcBorders>
            <w:vAlign w:val="center"/>
          </w:tcPr>
          <w:p/>
        </w:tc>
        <w:tc>
          <w:tcPr>
            <w:tcW w:w="1044"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年度资金总额：</w:t>
            </w:r>
          </w:p>
        </w:tc>
        <w:tc>
          <w:tcPr>
            <w:tcW w:w="39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43.00</w:t>
            </w:r>
          </w:p>
        </w:tc>
        <w:tc>
          <w:tcPr>
            <w:tcW w:w="71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43.00</w:t>
            </w:r>
          </w:p>
        </w:tc>
        <w:tc>
          <w:tcPr>
            <w:tcW w:w="74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43.00</w:t>
            </w:r>
          </w:p>
        </w:tc>
        <w:tc>
          <w:tcPr>
            <w:tcW w:w="49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57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36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r>
      <w:tr>
        <w:trPr>
          <w:trHeight w:val="379"/>
        </w:trPr>
        <w:tc>
          <w:tcPr>
            <w:tcW w:w="658" w:type="pct"/>
            <w:gridSpan w:val="2"/>
            <w:vMerge/>
            <w:tcBorders>
              <w:top w:val="single" w:sz="4" w:space="0" w:color="000000"/>
              <w:left w:val="single" w:sz="4" w:space="0" w:color="000000"/>
              <w:bottom w:val="single" w:sz="4" w:space="0" w:color="000000"/>
              <w:right w:val="single" w:sz="4" w:space="0" w:color="000000"/>
            </w:tcBorders>
            <w:vAlign w:val="center"/>
          </w:tcPr>
          <w:p/>
        </w:tc>
        <w:tc>
          <w:tcPr>
            <w:tcW w:w="1044"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其中：财政拨款</w:t>
            </w:r>
          </w:p>
        </w:tc>
        <w:tc>
          <w:tcPr>
            <w:tcW w:w="39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43.00</w:t>
            </w:r>
          </w:p>
        </w:tc>
        <w:tc>
          <w:tcPr>
            <w:tcW w:w="71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43.00</w:t>
            </w:r>
          </w:p>
        </w:tc>
        <w:tc>
          <w:tcPr>
            <w:tcW w:w="74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43.00</w:t>
            </w:r>
          </w:p>
        </w:tc>
        <w:tc>
          <w:tcPr>
            <w:tcW w:w="49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7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36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658" w:type="pct"/>
            <w:gridSpan w:val="2"/>
            <w:vMerge/>
            <w:tcBorders>
              <w:top w:val="single" w:sz="4" w:space="0" w:color="000000"/>
              <w:left w:val="single" w:sz="4" w:space="0" w:color="000000"/>
              <w:bottom w:val="single" w:sz="4" w:space="0" w:color="000000"/>
              <w:right w:val="single" w:sz="4" w:space="0" w:color="000000"/>
            </w:tcBorders>
            <w:vAlign w:val="center"/>
          </w:tcPr>
          <w:p/>
        </w:tc>
        <w:tc>
          <w:tcPr>
            <w:tcW w:w="1044"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上年结转资金</w:t>
            </w:r>
          </w:p>
        </w:tc>
        <w:tc>
          <w:tcPr>
            <w:tcW w:w="39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71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74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49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7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36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658" w:type="pct"/>
            <w:gridSpan w:val="2"/>
            <w:vMerge/>
            <w:tcBorders>
              <w:top w:val="single" w:sz="4" w:space="0" w:color="000000"/>
              <w:left w:val="single" w:sz="4" w:space="0" w:color="000000"/>
              <w:bottom w:val="single" w:sz="4" w:space="0" w:color="000000"/>
              <w:right w:val="single" w:sz="4" w:space="0" w:color="000000"/>
            </w:tcBorders>
            <w:vAlign w:val="center"/>
          </w:tcPr>
          <w:p/>
        </w:tc>
        <w:tc>
          <w:tcPr>
            <w:tcW w:w="1044"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其他资金</w:t>
            </w:r>
          </w:p>
        </w:tc>
        <w:tc>
          <w:tcPr>
            <w:tcW w:w="39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71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74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49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7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36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233"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年度总体目标</w:t>
            </w:r>
          </w:p>
        </w:tc>
        <w:tc>
          <w:tcPr>
            <w:tcW w:w="2577" w:type="pct"/>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预期目标</w:t>
            </w:r>
          </w:p>
        </w:tc>
        <w:tc>
          <w:tcPr>
            <w:tcW w:w="2190"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实际完成情况</w:t>
            </w:r>
          </w:p>
        </w:tc>
      </w:tr>
      <w:tr>
        <w:trPr>
          <w:trHeight w:val="1320"/>
        </w:trPr>
        <w:tc>
          <w:tcPr>
            <w:tcW w:w="233" w:type="pct"/>
            <w:vMerge/>
            <w:tcBorders>
              <w:top w:val="nil"/>
              <w:left w:val="single" w:sz="4" w:space="0" w:color="000000"/>
              <w:bottom w:val="single" w:sz="4" w:space="0" w:color="000000"/>
              <w:right w:val="single" w:sz="4" w:space="0" w:color="000000"/>
            </w:tcBorders>
            <w:vAlign w:val="center"/>
          </w:tcPr>
          <w:p/>
        </w:tc>
        <w:tc>
          <w:tcPr>
            <w:tcW w:w="2577" w:type="pct"/>
            <w:gridSpan w:val="9"/>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18"/>
                <w:szCs w:val="18"/>
              </w:rPr>
            </w:pPr>
            <w:r>
              <w:rPr>
                <w:rFonts w:ascii="宋体" w:eastAsia="宋体" w:cs="Arial" w:hint="eastAsia"/>
                <w:kern w:val="0"/>
                <w:sz w:val="18"/>
                <w:szCs w:val="18"/>
              </w:rPr>
              <w:t>目标1：通过购置试剂和委托专业机构（本身无检测能力时）开展食品化妆品检验，完成年度进出口食品化妆品安全检测任务，把好关区国门安全关；</w:t>
              <w:br/>
              <w:t>目标2：通过开展进出口食品化妆品安全业务培训，使工作人员掌握食品化妆品检测技术，提高业务人员实践能力。</w:t>
            </w:r>
          </w:p>
        </w:tc>
        <w:tc>
          <w:tcPr>
            <w:tcW w:w="2190" w:type="pct"/>
            <w:gridSpan w:val="7"/>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18"/>
                <w:szCs w:val="18"/>
              </w:rPr>
            </w:pPr>
            <w:r>
              <w:rPr>
                <w:rFonts w:ascii="宋体" w:eastAsia="宋体" w:cs="Arial" w:hint="eastAsia"/>
                <w:kern w:val="0"/>
                <w:sz w:val="18"/>
                <w:szCs w:val="18"/>
              </w:rPr>
              <w:t>目标1：按时完成了年度进出口食品化妆品安全检测任务，为关区食品化妆品安全把关；</w:t>
              <w:br/>
              <w:t>目标2：全年共开展进出口食品化妆品安全业务培训4次，使工作人员掌握了食品化妆品检测技术，提高了检测人员的实践能力。</w:t>
            </w:r>
          </w:p>
        </w:tc>
      </w:tr>
      <w:tr>
        <w:trPr>
          <w:trHeight w:val="462"/>
        </w:trPr>
        <w:tc>
          <w:tcPr>
            <w:tcW w:w="233" w:type="pc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425"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一级指标</w:t>
            </w:r>
          </w:p>
        </w:tc>
        <w:tc>
          <w:tcPr>
            <w:tcW w:w="57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二级指标</w:t>
            </w:r>
          </w:p>
        </w:tc>
        <w:tc>
          <w:tcPr>
            <w:tcW w:w="999"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三级指标</w:t>
            </w:r>
          </w:p>
        </w:tc>
        <w:tc>
          <w:tcPr>
            <w:tcW w:w="583"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年度指标值</w:t>
            </w:r>
          </w:p>
        </w:tc>
        <w:tc>
          <w:tcPr>
            <w:tcW w:w="66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实际完成值</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c>
          <w:tcPr>
            <w:tcW w:w="69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偏差原因分析及改进措施</w:t>
            </w:r>
          </w:p>
        </w:tc>
      </w:tr>
      <w:tr>
        <w:trPr>
          <w:trHeight w:val="480"/>
        </w:trPr>
        <w:tc>
          <w:tcPr>
            <w:tcW w:w="233"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绩效指标</w:t>
            </w:r>
          </w:p>
        </w:tc>
        <w:tc>
          <w:tcPr>
            <w:tcW w:w="425"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产出指标</w:t>
            </w:r>
          </w:p>
        </w:tc>
        <w:tc>
          <w:tcPr>
            <w:tcW w:w="57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数量指标</w:t>
            </w:r>
          </w:p>
        </w:tc>
        <w:tc>
          <w:tcPr>
            <w:tcW w:w="999"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监控计划完成率、试剂耗材购置</w:t>
            </w:r>
          </w:p>
        </w:tc>
        <w:tc>
          <w:tcPr>
            <w:tcW w:w="583"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66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69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285"/>
        </w:trPr>
        <w:tc>
          <w:tcPr>
            <w:tcW w:w="233" w:type="pct"/>
            <w:vMerge/>
            <w:tcBorders>
              <w:top w:val="nil"/>
              <w:left w:val="single" w:sz="4" w:space="0" w:color="000000"/>
              <w:bottom w:val="single" w:sz="4" w:space="0" w:color="000000"/>
              <w:right w:val="single" w:sz="4" w:space="0" w:color="000000"/>
            </w:tcBorders>
            <w:vAlign w:val="center"/>
          </w:tcPr>
          <w:p/>
        </w:tc>
        <w:tc>
          <w:tcPr>
            <w:tcW w:w="425" w:type="pct"/>
            <w:vMerge/>
            <w:tcBorders>
              <w:top w:val="nil"/>
              <w:left w:val="single" w:sz="4" w:space="0" w:color="000000"/>
              <w:bottom w:val="single" w:sz="4" w:space="0" w:color="000000"/>
              <w:right w:val="single" w:sz="4" w:space="0" w:color="000000"/>
            </w:tcBorders>
            <w:vAlign w:val="center"/>
          </w:tcPr>
          <w:p/>
        </w:tc>
        <w:tc>
          <w:tcPr>
            <w:tcW w:w="57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数量指标</w:t>
            </w:r>
          </w:p>
        </w:tc>
        <w:tc>
          <w:tcPr>
            <w:tcW w:w="999"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组织检测人员专业培训</w:t>
            </w:r>
          </w:p>
        </w:tc>
        <w:tc>
          <w:tcPr>
            <w:tcW w:w="583"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≥2次</w:t>
            </w:r>
          </w:p>
        </w:tc>
        <w:tc>
          <w:tcPr>
            <w:tcW w:w="66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4次</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10.0</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10.0</w:t>
            </w:r>
          </w:p>
        </w:tc>
        <w:tc>
          <w:tcPr>
            <w:tcW w:w="69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255"/>
        </w:trPr>
        <w:tc>
          <w:tcPr>
            <w:tcW w:w="233" w:type="pct"/>
            <w:vMerge/>
            <w:tcBorders>
              <w:top w:val="nil"/>
              <w:left w:val="single" w:sz="4" w:space="0" w:color="000000"/>
              <w:bottom w:val="single" w:sz="4" w:space="0" w:color="000000"/>
              <w:right w:val="single" w:sz="4" w:space="0" w:color="000000"/>
            </w:tcBorders>
            <w:vAlign w:val="center"/>
          </w:tcPr>
          <w:p/>
        </w:tc>
        <w:tc>
          <w:tcPr>
            <w:tcW w:w="425" w:type="pct"/>
            <w:vMerge/>
            <w:tcBorders>
              <w:top w:val="nil"/>
              <w:left w:val="single" w:sz="4" w:space="0" w:color="000000"/>
              <w:bottom w:val="single" w:sz="4" w:space="0" w:color="000000"/>
              <w:right w:val="single" w:sz="4" w:space="0" w:color="000000"/>
            </w:tcBorders>
            <w:vAlign w:val="center"/>
          </w:tcPr>
          <w:p/>
        </w:tc>
        <w:tc>
          <w:tcPr>
            <w:tcW w:w="57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999"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委托机构资质达标率</w:t>
            </w:r>
          </w:p>
        </w:tc>
        <w:tc>
          <w:tcPr>
            <w:tcW w:w="583"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66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69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33" w:type="pct"/>
            <w:vMerge/>
            <w:tcBorders>
              <w:top w:val="nil"/>
              <w:left w:val="single" w:sz="4" w:space="0" w:color="000000"/>
              <w:bottom w:val="single" w:sz="4" w:space="0" w:color="000000"/>
              <w:right w:val="single" w:sz="4" w:space="0" w:color="000000"/>
            </w:tcBorders>
            <w:vAlign w:val="center"/>
          </w:tcPr>
          <w:p/>
        </w:tc>
        <w:tc>
          <w:tcPr>
            <w:tcW w:w="425" w:type="pct"/>
            <w:vMerge/>
            <w:tcBorders>
              <w:top w:val="nil"/>
              <w:left w:val="single" w:sz="4" w:space="0" w:color="000000"/>
              <w:bottom w:val="single" w:sz="4" w:space="0" w:color="000000"/>
              <w:right w:val="single" w:sz="4" w:space="0" w:color="000000"/>
            </w:tcBorders>
            <w:vAlign w:val="center"/>
          </w:tcPr>
          <w:p/>
        </w:tc>
        <w:tc>
          <w:tcPr>
            <w:tcW w:w="57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999"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试剂耗材购置合格率、检测周期符合率</w:t>
            </w:r>
          </w:p>
        </w:tc>
        <w:tc>
          <w:tcPr>
            <w:tcW w:w="583"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66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69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33" w:type="pct"/>
            <w:vMerge/>
            <w:tcBorders>
              <w:top w:val="nil"/>
              <w:left w:val="single" w:sz="4" w:space="0" w:color="000000"/>
              <w:bottom w:val="single" w:sz="4" w:space="0" w:color="000000"/>
              <w:right w:val="single" w:sz="4" w:space="0" w:color="000000"/>
            </w:tcBorders>
            <w:vAlign w:val="center"/>
          </w:tcPr>
          <w:p/>
        </w:tc>
        <w:tc>
          <w:tcPr>
            <w:tcW w:w="425" w:type="pct"/>
            <w:vMerge/>
            <w:tcBorders>
              <w:top w:val="nil"/>
              <w:left w:val="single" w:sz="4" w:space="0" w:color="000000"/>
              <w:bottom w:val="single" w:sz="4" w:space="0" w:color="000000"/>
              <w:right w:val="single" w:sz="4" w:space="0" w:color="000000"/>
            </w:tcBorders>
            <w:vAlign w:val="center"/>
          </w:tcPr>
          <w:p/>
        </w:tc>
        <w:tc>
          <w:tcPr>
            <w:tcW w:w="57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时效指标</w:t>
            </w:r>
          </w:p>
        </w:tc>
        <w:tc>
          <w:tcPr>
            <w:tcW w:w="999"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试剂耗材购置完成及时率</w:t>
            </w:r>
          </w:p>
        </w:tc>
        <w:tc>
          <w:tcPr>
            <w:tcW w:w="583"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66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69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20"/>
        </w:trPr>
        <w:tc>
          <w:tcPr>
            <w:tcW w:w="233" w:type="pct"/>
            <w:vMerge/>
            <w:tcBorders>
              <w:top w:val="nil"/>
              <w:left w:val="single" w:sz="4" w:space="0" w:color="000000"/>
              <w:bottom w:val="single" w:sz="4" w:space="0" w:color="000000"/>
              <w:right w:val="single" w:sz="4" w:space="0" w:color="000000"/>
            </w:tcBorders>
            <w:vAlign w:val="center"/>
          </w:tcPr>
          <w:p/>
        </w:tc>
        <w:tc>
          <w:tcPr>
            <w:tcW w:w="425"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效益指标</w:t>
            </w:r>
          </w:p>
        </w:tc>
        <w:tc>
          <w:tcPr>
            <w:tcW w:w="57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社会效益指标</w:t>
            </w:r>
          </w:p>
        </w:tc>
        <w:tc>
          <w:tcPr>
            <w:tcW w:w="999"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食品、化妆品进出口法定样品实验室检验及时率</w:t>
            </w:r>
          </w:p>
        </w:tc>
        <w:tc>
          <w:tcPr>
            <w:tcW w:w="583"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66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30.0</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30.0</w:t>
            </w:r>
          </w:p>
        </w:tc>
        <w:tc>
          <w:tcPr>
            <w:tcW w:w="69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20"/>
        </w:trPr>
        <w:tc>
          <w:tcPr>
            <w:tcW w:w="233" w:type="pct"/>
            <w:vMerge/>
            <w:tcBorders>
              <w:top w:val="nil"/>
              <w:left w:val="single" w:sz="4" w:space="0" w:color="000000"/>
              <w:bottom w:val="single" w:sz="4" w:space="0" w:color="000000"/>
              <w:right w:val="single" w:sz="4" w:space="0" w:color="000000"/>
            </w:tcBorders>
            <w:vAlign w:val="center"/>
          </w:tcPr>
          <w:p/>
        </w:tc>
        <w:tc>
          <w:tcPr>
            <w:tcW w:w="425"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满意度指标</w:t>
            </w:r>
          </w:p>
        </w:tc>
        <w:tc>
          <w:tcPr>
            <w:tcW w:w="57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服务对象满意度指标</w:t>
            </w:r>
          </w:p>
        </w:tc>
        <w:tc>
          <w:tcPr>
            <w:tcW w:w="999"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满意度调查</w:t>
            </w:r>
          </w:p>
        </w:tc>
        <w:tc>
          <w:tcPr>
            <w:tcW w:w="583"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≥90%</w:t>
            </w:r>
          </w:p>
        </w:tc>
        <w:tc>
          <w:tcPr>
            <w:tcW w:w="66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94%</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69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379"/>
        </w:trPr>
        <w:tc>
          <w:tcPr>
            <w:tcW w:w="3479" w:type="pct"/>
            <w:gridSpan w:val="11"/>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总分</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41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694"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bl>
    <w:p/>
    <w:tbl>
      <w:tblPr>
        <w:jc w:val="left"/>
        <w:tblW w:w="5220" w:type="pct"/>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400"/>
        <w:gridCol w:w="653"/>
        <w:gridCol w:w="649"/>
        <w:gridCol w:w="390"/>
        <w:gridCol w:w="333"/>
        <w:gridCol w:w="100"/>
        <w:gridCol w:w="722"/>
        <w:gridCol w:w="415"/>
        <w:gridCol w:w="274"/>
        <w:gridCol w:w="356"/>
        <w:gridCol w:w="507"/>
        <w:gridCol w:w="811"/>
        <w:gridCol w:w="174"/>
        <w:gridCol w:w="148"/>
        <w:gridCol w:w="345"/>
        <w:gridCol w:w="212"/>
        <w:gridCol w:w="294"/>
        <w:gridCol w:w="162"/>
        <w:gridCol w:w="399"/>
        <w:gridCol w:w="91"/>
        <w:gridCol w:w="343"/>
        <w:gridCol w:w="1119"/>
      </w:tblGrid>
      <w:tr>
        <w:trPr>
          <w:trHeight w:val="702"/>
        </w:trPr>
        <w:tc>
          <w:tcPr>
            <w:tcW w:w="5000" w:type="pct"/>
            <w:gridSpan w:val="22"/>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项目支出绩效自评表</w:t>
            </w:r>
          </w:p>
        </w:tc>
      </w:tr>
      <w:tr>
        <w:trPr>
          <w:trHeight w:val="499"/>
        </w:trPr>
        <w:tc>
          <w:tcPr>
            <w:tcW w:w="5000" w:type="pct"/>
            <w:gridSpan w:val="22"/>
            <w:tcBorders>
              <w:top w:val="nil"/>
              <w:left w:val="nil"/>
              <w:bottom w:val="nil"/>
              <w:right w:val="nil"/>
            </w:tcBorders>
            <w:shd w:val="clear" w:color="auto" w:fill="auto"/>
            <w:noWrap/>
            <w:vAlign w:val="center"/>
          </w:tcPr>
          <w:p>
            <w:pPr>
              <w:widowControl/>
              <w:jc w:val="center"/>
              <w:rPr>
                <w:rFonts w:ascii="宋体" w:eastAsia="宋体" w:cs="Arial"/>
                <w:kern w:val="0"/>
                <w:sz w:val="24"/>
                <w:szCs w:val="24"/>
              </w:rPr>
            </w:pPr>
            <w:r>
              <w:rPr>
                <w:rFonts w:ascii="宋体" w:eastAsia="宋体" w:cs="Arial" w:hint="eastAsia"/>
                <w:kern w:val="0"/>
                <w:sz w:val="24"/>
                <w:szCs w:val="24"/>
              </w:rPr>
              <w:t>(2022年度)</w:t>
            </w:r>
          </w:p>
        </w:tc>
      </w:tr>
      <w:tr>
        <w:trPr>
          <w:trHeight w:val="255"/>
        </w:trPr>
        <w:tc>
          <w:tcPr>
            <w:tcW w:w="225"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67"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65"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06"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62"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587" w:type="pct"/>
            <w:gridSpan w:val="3"/>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741"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75" w:type="pct"/>
            <w:gridSpan w:val="3"/>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75" w:type="pct"/>
            <w:gridSpan w:val="3"/>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275"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822"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r>
      <w:tr>
        <w:trPr>
          <w:trHeight w:val="379"/>
        </w:trPr>
        <w:tc>
          <w:tcPr>
            <w:tcW w:w="59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项目名称</w:t>
            </w:r>
          </w:p>
        </w:tc>
        <w:tc>
          <w:tcPr>
            <w:tcW w:w="4408" w:type="pct"/>
            <w:gridSpan w:val="20"/>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进出口商品质量安全检验监管专项</w:t>
            </w:r>
          </w:p>
        </w:tc>
      </w:tr>
      <w:tr>
        <w:trPr>
          <w:trHeight w:val="379"/>
        </w:trPr>
        <w:tc>
          <w:tcPr>
            <w:tcW w:w="59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主管部门</w:t>
            </w:r>
          </w:p>
        </w:tc>
        <w:tc>
          <w:tcPr>
            <w:tcW w:w="1466"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167 海关总署</w:t>
            </w:r>
          </w:p>
        </w:tc>
        <w:tc>
          <w:tcPr>
            <w:tcW w:w="639"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实施单位</w:t>
            </w:r>
          </w:p>
        </w:tc>
        <w:tc>
          <w:tcPr>
            <w:tcW w:w="2303" w:type="pct"/>
            <w:gridSpan w:val="11"/>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重庆海关技术中心</w:t>
            </w:r>
          </w:p>
        </w:tc>
      </w:tr>
      <w:tr>
        <w:trPr>
          <w:trHeight w:val="379"/>
        </w:trPr>
        <w:tc>
          <w:tcPr>
            <w:tcW w:w="59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项目资金（万元）</w:t>
            </w:r>
          </w:p>
        </w:tc>
        <w:tc>
          <w:tcPr>
            <w:tcW w:w="82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63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年初预算数</w:t>
            </w:r>
          </w:p>
        </w:tc>
        <w:tc>
          <w:tcPr>
            <w:tcW w:w="639"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全年预算数</w:t>
            </w:r>
          </w:p>
        </w:tc>
        <w:tc>
          <w:tcPr>
            <w:tcW w:w="637"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全年执行数</w:t>
            </w:r>
          </w:p>
        </w:tc>
        <w:tc>
          <w:tcPr>
            <w:tcW w:w="478"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559"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执行率</w:t>
            </w:r>
          </w:p>
        </w:tc>
        <w:tc>
          <w:tcPr>
            <w:tcW w:w="62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r>
      <w:tr>
        <w:trPr>
          <w:trHeight w:val="379"/>
        </w:trPr>
        <w:tc>
          <w:tcPr>
            <w:tcW w:w="592"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2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年度资金总额：</w:t>
            </w:r>
          </w:p>
        </w:tc>
        <w:tc>
          <w:tcPr>
            <w:tcW w:w="63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280.72</w:t>
            </w:r>
          </w:p>
        </w:tc>
        <w:tc>
          <w:tcPr>
            <w:tcW w:w="639"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280.72</w:t>
            </w:r>
          </w:p>
        </w:tc>
        <w:tc>
          <w:tcPr>
            <w:tcW w:w="637"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280.72</w:t>
            </w:r>
          </w:p>
        </w:tc>
        <w:tc>
          <w:tcPr>
            <w:tcW w:w="478"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559"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100.00%</w:t>
            </w:r>
          </w:p>
        </w:tc>
        <w:tc>
          <w:tcPr>
            <w:tcW w:w="62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r>
      <w:tr>
        <w:trPr>
          <w:trHeight w:val="379"/>
        </w:trPr>
        <w:tc>
          <w:tcPr>
            <w:tcW w:w="592"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2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其中：财政拨款</w:t>
            </w:r>
          </w:p>
        </w:tc>
        <w:tc>
          <w:tcPr>
            <w:tcW w:w="63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280.72</w:t>
            </w:r>
          </w:p>
        </w:tc>
        <w:tc>
          <w:tcPr>
            <w:tcW w:w="639"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280.72</w:t>
            </w:r>
          </w:p>
        </w:tc>
        <w:tc>
          <w:tcPr>
            <w:tcW w:w="637"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280.72</w:t>
            </w:r>
          </w:p>
        </w:tc>
        <w:tc>
          <w:tcPr>
            <w:tcW w:w="478"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59"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100.00%</w:t>
            </w:r>
          </w:p>
        </w:tc>
        <w:tc>
          <w:tcPr>
            <w:tcW w:w="62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592"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2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上年结转资金</w:t>
            </w:r>
          </w:p>
        </w:tc>
        <w:tc>
          <w:tcPr>
            <w:tcW w:w="63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39"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37"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478"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59"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62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592"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27"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其他资金</w:t>
            </w:r>
          </w:p>
        </w:tc>
        <w:tc>
          <w:tcPr>
            <w:tcW w:w="63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39"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37"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478"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59"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629"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225"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年度总体目标</w:t>
            </w:r>
          </w:p>
        </w:tc>
        <w:tc>
          <w:tcPr>
            <w:tcW w:w="2472" w:type="pct"/>
            <w:gridSpan w:val="10"/>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预期目标</w:t>
            </w:r>
          </w:p>
        </w:tc>
        <w:tc>
          <w:tcPr>
            <w:tcW w:w="2303" w:type="pct"/>
            <w:gridSpan w:val="11"/>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实际完成情况</w:t>
            </w:r>
          </w:p>
        </w:tc>
      </w:tr>
      <w:tr>
        <w:trPr>
          <w:trHeight w:val="3975"/>
        </w:trPr>
        <w:tc>
          <w:tcPr>
            <w:tcW w:w="225" w:type="pct"/>
            <w:vMerge/>
            <w:tcBorders>
              <w:top w:val="nil"/>
              <w:left w:val="single" w:sz="4" w:space="0" w:color="000000"/>
              <w:bottom w:val="single" w:sz="4" w:space="0" w:color="000000"/>
              <w:right w:val="single" w:sz="4" w:space="0" w:color="000000"/>
            </w:tcBorders>
            <w:vAlign w:val="center"/>
          </w:tcPr>
          <w:p/>
        </w:tc>
        <w:tc>
          <w:tcPr>
            <w:tcW w:w="2472" w:type="pct"/>
            <w:gridSpan w:val="10"/>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20"/>
                <w:szCs w:val="20"/>
              </w:rPr>
            </w:pPr>
            <w:r>
              <w:rPr>
                <w:rFonts w:ascii="宋体" w:eastAsia="宋体" w:cs="Arial" w:hint="eastAsia"/>
                <w:kern w:val="0"/>
                <w:sz w:val="20"/>
                <w:szCs w:val="20"/>
              </w:rPr>
              <w:t xml:space="preserve">目标1、通过对进出口目录内外样品进行800批次以上的检测，加强对进出口商品的质量监管。 </w:t>
              <w:br/>
              <w:t xml:space="preserve">目标2、通过参加能力验证加强检测能力，确保检测水平，参加10次以上的能力验证。 </w:t>
              <w:br/>
              <w:t xml:space="preserve">目标3、通过人员培训提供检测人员的能力，组织100人次以上。 </w:t>
              <w:br/>
              <w:t xml:space="preserve">目标4、编写进出口商品风险评估报告或风险检测报告11份以上。 </w:t>
              <w:br/>
              <w:t xml:space="preserve">目标5、收集进出口商品质量安全风险信息4000条以上。 </w:t>
              <w:br/>
              <w:t>目标6、采购样品、试剂耗材，保障检测活动。通过以上活动最终保障国家级评估中心（重庆）的正常运行，保证重庆海关履行进出口商品检验监管职能，完善进出口商品质量安全监管制度和做好进出口商品检验监管工作，着力提升进口商品质量安全保障水平和出口商品质量竞争水平，维护进出口商品质量安全，确保不发生系统性、区域性质量安全事件。</w:t>
            </w:r>
          </w:p>
        </w:tc>
        <w:tc>
          <w:tcPr>
            <w:tcW w:w="2303" w:type="pct"/>
            <w:gridSpan w:val="11"/>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20"/>
                <w:szCs w:val="20"/>
              </w:rPr>
            </w:pPr>
            <w:r>
              <w:rPr>
                <w:rFonts w:ascii="宋体" w:eastAsia="宋体" w:cs="Arial" w:hint="eastAsia"/>
                <w:kern w:val="0"/>
                <w:sz w:val="20"/>
                <w:szCs w:val="20"/>
              </w:rPr>
              <w:t xml:space="preserve">目标1、通过对进出口目录内外样品进行1590批次以上的检测，加强对进出口商品的质量监管。 </w:t>
              <w:br/>
              <w:t xml:space="preserve">目标2、通过参加能力验证加强检测能力，确保检测水平，参加12次能力验证。 </w:t>
              <w:br/>
              <w:t xml:space="preserve">目标3、通过人员培训提供检测人员的能力，组织144人次。 </w:t>
              <w:br/>
              <w:t xml:space="preserve">目标4、编写进出口商品风险评估报告或风险检测报告12份。 </w:t>
              <w:br/>
              <w:t xml:space="preserve">目标5、收集进出口商品质量安全风险信息4249条以上。 </w:t>
              <w:br/>
              <w:t>目标6、采购样品、试剂耗材，保障检测活动。通过以上活动最终保障国家级评估中心（重庆）的正常运行，保证重庆海关履行进出口商品检验监管职能，完善进出口商品质量安全监管制度和做好进出口商品检验监管工作，着力提升进口商品质量安全保障水平和出口商品质量竞争水平，维护进出口商品质量安全，确保不发生系统性、区域性质量安全事件。</w:t>
            </w:r>
          </w:p>
        </w:tc>
      </w:tr>
      <w:tr>
        <w:trPr>
          <w:trHeight w:val="462"/>
        </w:trPr>
        <w:tc>
          <w:tcPr>
            <w:tcW w:w="225" w:type="pc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367"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一级指标</w:t>
            </w:r>
          </w:p>
        </w:tc>
        <w:tc>
          <w:tcPr>
            <w:tcW w:w="58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二级指标</w:t>
            </w:r>
          </w:p>
        </w:tc>
        <w:tc>
          <w:tcPr>
            <w:tcW w:w="1036"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三级指标</w:t>
            </w:r>
          </w:p>
        </w:tc>
        <w:tc>
          <w:tcPr>
            <w:tcW w:w="48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年度指标值</w:t>
            </w:r>
          </w:p>
        </w:tc>
        <w:tc>
          <w:tcPr>
            <w:tcW w:w="55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实际完成值</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480"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c>
          <w:tcPr>
            <w:tcW w:w="873"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偏差原因分析及改进措施</w:t>
            </w:r>
          </w:p>
        </w:tc>
      </w:tr>
      <w:tr>
        <w:trPr>
          <w:trHeight w:val="480"/>
        </w:trPr>
        <w:tc>
          <w:tcPr>
            <w:tcW w:w="225"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绩效指标</w:t>
            </w:r>
          </w:p>
        </w:tc>
        <w:tc>
          <w:tcPr>
            <w:tcW w:w="367"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产出指标</w:t>
            </w:r>
          </w:p>
        </w:tc>
        <w:tc>
          <w:tcPr>
            <w:tcW w:w="58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数量指标</w:t>
            </w:r>
          </w:p>
        </w:tc>
        <w:tc>
          <w:tcPr>
            <w:tcW w:w="1036"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收集进出口商品质量安全风险信息</w:t>
            </w:r>
          </w:p>
        </w:tc>
        <w:tc>
          <w:tcPr>
            <w:tcW w:w="48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≥4000条</w:t>
            </w:r>
          </w:p>
        </w:tc>
        <w:tc>
          <w:tcPr>
            <w:tcW w:w="55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4249条</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7.0 </w:t>
            </w:r>
          </w:p>
        </w:tc>
        <w:tc>
          <w:tcPr>
            <w:tcW w:w="480"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7.0 </w:t>
            </w:r>
          </w:p>
        </w:tc>
        <w:tc>
          <w:tcPr>
            <w:tcW w:w="873"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367" w:type="pct"/>
            <w:vMerge/>
            <w:tcBorders>
              <w:top w:val="nil"/>
              <w:left w:val="single" w:sz="4" w:space="0" w:color="000000"/>
              <w:bottom w:val="single" w:sz="4" w:space="0" w:color="000000"/>
              <w:right w:val="single" w:sz="4" w:space="0" w:color="000000"/>
            </w:tcBorders>
            <w:vAlign w:val="center"/>
          </w:tcPr>
          <w:p/>
        </w:tc>
        <w:tc>
          <w:tcPr>
            <w:tcW w:w="58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数量指标</w:t>
            </w:r>
          </w:p>
        </w:tc>
        <w:tc>
          <w:tcPr>
            <w:tcW w:w="1036"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进出口商品风险监测或风险验证</w:t>
            </w:r>
          </w:p>
        </w:tc>
        <w:tc>
          <w:tcPr>
            <w:tcW w:w="48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≥200批次</w:t>
            </w:r>
          </w:p>
        </w:tc>
        <w:tc>
          <w:tcPr>
            <w:tcW w:w="55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210批次</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7.0 </w:t>
            </w:r>
          </w:p>
        </w:tc>
        <w:tc>
          <w:tcPr>
            <w:tcW w:w="480"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7.0 </w:t>
            </w:r>
          </w:p>
        </w:tc>
        <w:tc>
          <w:tcPr>
            <w:tcW w:w="873"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367" w:type="pct"/>
            <w:vMerge/>
            <w:tcBorders>
              <w:top w:val="nil"/>
              <w:left w:val="single" w:sz="4" w:space="0" w:color="000000"/>
              <w:bottom w:val="single" w:sz="4" w:space="0" w:color="000000"/>
              <w:right w:val="single" w:sz="4" w:space="0" w:color="000000"/>
            </w:tcBorders>
            <w:vAlign w:val="center"/>
          </w:tcPr>
          <w:p/>
        </w:tc>
        <w:tc>
          <w:tcPr>
            <w:tcW w:w="58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数量指标</w:t>
            </w:r>
          </w:p>
        </w:tc>
        <w:tc>
          <w:tcPr>
            <w:tcW w:w="1036"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进出口目录内外商品检验</w:t>
            </w:r>
          </w:p>
        </w:tc>
        <w:tc>
          <w:tcPr>
            <w:tcW w:w="48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≥800批次</w:t>
            </w:r>
          </w:p>
        </w:tc>
        <w:tc>
          <w:tcPr>
            <w:tcW w:w="55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1590批次</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7.0 </w:t>
            </w:r>
          </w:p>
        </w:tc>
        <w:tc>
          <w:tcPr>
            <w:tcW w:w="480"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7.0 </w:t>
            </w:r>
          </w:p>
        </w:tc>
        <w:tc>
          <w:tcPr>
            <w:tcW w:w="873"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367" w:type="pct"/>
            <w:vMerge/>
            <w:tcBorders>
              <w:top w:val="nil"/>
              <w:left w:val="single" w:sz="4" w:space="0" w:color="000000"/>
              <w:bottom w:val="single" w:sz="4" w:space="0" w:color="000000"/>
              <w:right w:val="single" w:sz="4" w:space="0" w:color="000000"/>
            </w:tcBorders>
            <w:vAlign w:val="center"/>
          </w:tcPr>
          <w:p/>
        </w:tc>
        <w:tc>
          <w:tcPr>
            <w:tcW w:w="58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数量指标</w:t>
            </w:r>
          </w:p>
        </w:tc>
        <w:tc>
          <w:tcPr>
            <w:tcW w:w="1036"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风险监测点提交工作报告</w:t>
            </w:r>
          </w:p>
        </w:tc>
        <w:tc>
          <w:tcPr>
            <w:tcW w:w="48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≥6份</w:t>
            </w:r>
          </w:p>
        </w:tc>
        <w:tc>
          <w:tcPr>
            <w:tcW w:w="55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7份</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7.0 </w:t>
            </w:r>
          </w:p>
        </w:tc>
        <w:tc>
          <w:tcPr>
            <w:tcW w:w="480"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7.0 </w:t>
            </w:r>
          </w:p>
        </w:tc>
        <w:tc>
          <w:tcPr>
            <w:tcW w:w="873"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367" w:type="pct"/>
            <w:vMerge/>
            <w:tcBorders>
              <w:top w:val="nil"/>
              <w:left w:val="single" w:sz="4" w:space="0" w:color="000000"/>
              <w:bottom w:val="single" w:sz="4" w:space="0" w:color="000000"/>
              <w:right w:val="single" w:sz="4" w:space="0" w:color="000000"/>
            </w:tcBorders>
            <w:vAlign w:val="center"/>
          </w:tcPr>
          <w:p/>
        </w:tc>
        <w:tc>
          <w:tcPr>
            <w:tcW w:w="58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数量指标</w:t>
            </w:r>
          </w:p>
        </w:tc>
        <w:tc>
          <w:tcPr>
            <w:tcW w:w="1036"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风险评估中心提交评估报告</w:t>
            </w:r>
          </w:p>
        </w:tc>
        <w:tc>
          <w:tcPr>
            <w:tcW w:w="48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≥5份</w:t>
            </w:r>
          </w:p>
        </w:tc>
        <w:tc>
          <w:tcPr>
            <w:tcW w:w="55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5份</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7.0 </w:t>
            </w:r>
          </w:p>
        </w:tc>
        <w:tc>
          <w:tcPr>
            <w:tcW w:w="480"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7.0 </w:t>
            </w:r>
          </w:p>
        </w:tc>
        <w:tc>
          <w:tcPr>
            <w:tcW w:w="873"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960"/>
        </w:trPr>
        <w:tc>
          <w:tcPr>
            <w:tcW w:w="225" w:type="pct"/>
            <w:vMerge/>
            <w:tcBorders>
              <w:top w:val="nil"/>
              <w:left w:val="single" w:sz="4" w:space="0" w:color="000000"/>
              <w:bottom w:val="single" w:sz="4" w:space="0" w:color="000000"/>
              <w:right w:val="single" w:sz="4" w:space="0" w:color="000000"/>
            </w:tcBorders>
            <w:vAlign w:val="center"/>
          </w:tcPr>
          <w:p/>
        </w:tc>
        <w:tc>
          <w:tcPr>
            <w:tcW w:w="367" w:type="pct"/>
            <w:vMerge/>
            <w:tcBorders>
              <w:top w:val="nil"/>
              <w:left w:val="single" w:sz="4" w:space="0" w:color="000000"/>
              <w:bottom w:val="single" w:sz="4" w:space="0" w:color="000000"/>
              <w:right w:val="single" w:sz="4" w:space="0" w:color="000000"/>
            </w:tcBorders>
            <w:vAlign w:val="center"/>
          </w:tcPr>
          <w:p/>
        </w:tc>
        <w:tc>
          <w:tcPr>
            <w:tcW w:w="58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质量指标</w:t>
            </w:r>
          </w:p>
        </w:tc>
        <w:tc>
          <w:tcPr>
            <w:tcW w:w="1036"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不发生因海关商检职能管理原因导致的系统性、区域性进出口商品质量安全事故</w:t>
            </w:r>
          </w:p>
        </w:tc>
        <w:tc>
          <w:tcPr>
            <w:tcW w:w="48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有效</w:t>
            </w:r>
          </w:p>
        </w:tc>
        <w:tc>
          <w:tcPr>
            <w:tcW w:w="55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有效</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8.0 </w:t>
            </w:r>
          </w:p>
        </w:tc>
        <w:tc>
          <w:tcPr>
            <w:tcW w:w="480"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8.0 </w:t>
            </w:r>
          </w:p>
        </w:tc>
        <w:tc>
          <w:tcPr>
            <w:tcW w:w="873"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367" w:type="pct"/>
            <w:vMerge/>
            <w:tcBorders>
              <w:top w:val="nil"/>
              <w:left w:val="single" w:sz="4" w:space="0" w:color="000000"/>
              <w:bottom w:val="single" w:sz="4" w:space="0" w:color="000000"/>
              <w:right w:val="single" w:sz="4" w:space="0" w:color="000000"/>
            </w:tcBorders>
            <w:vAlign w:val="center"/>
          </w:tcPr>
          <w:p/>
        </w:tc>
        <w:tc>
          <w:tcPr>
            <w:tcW w:w="58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质量指标</w:t>
            </w:r>
          </w:p>
        </w:tc>
        <w:tc>
          <w:tcPr>
            <w:tcW w:w="1036"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进出口危险化学品及包装实施检验率</w:t>
            </w:r>
          </w:p>
        </w:tc>
        <w:tc>
          <w:tcPr>
            <w:tcW w:w="48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≥95%</w:t>
            </w:r>
          </w:p>
        </w:tc>
        <w:tc>
          <w:tcPr>
            <w:tcW w:w="55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100%</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7.0 </w:t>
            </w:r>
          </w:p>
        </w:tc>
        <w:tc>
          <w:tcPr>
            <w:tcW w:w="480"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7.0 </w:t>
            </w:r>
          </w:p>
        </w:tc>
        <w:tc>
          <w:tcPr>
            <w:tcW w:w="873"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367"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效益指标</w:t>
            </w:r>
          </w:p>
        </w:tc>
        <w:tc>
          <w:tcPr>
            <w:tcW w:w="58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社会效益指标</w:t>
            </w:r>
          </w:p>
        </w:tc>
        <w:tc>
          <w:tcPr>
            <w:tcW w:w="1036"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区域性质量安全事件</w:t>
            </w:r>
          </w:p>
        </w:tc>
        <w:tc>
          <w:tcPr>
            <w:tcW w:w="48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＝0起</w:t>
            </w:r>
          </w:p>
        </w:tc>
        <w:tc>
          <w:tcPr>
            <w:tcW w:w="55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0起</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480"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873"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367" w:type="pct"/>
            <w:vMerge/>
            <w:tcBorders>
              <w:top w:val="nil"/>
              <w:left w:val="single" w:sz="4" w:space="0" w:color="000000"/>
              <w:bottom w:val="single" w:sz="4" w:space="0" w:color="000000"/>
              <w:right w:val="single" w:sz="4" w:space="0" w:color="000000"/>
            </w:tcBorders>
            <w:vAlign w:val="center"/>
          </w:tcPr>
          <w:p/>
        </w:tc>
        <w:tc>
          <w:tcPr>
            <w:tcW w:w="58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社会效益指标</w:t>
            </w:r>
          </w:p>
        </w:tc>
        <w:tc>
          <w:tcPr>
            <w:tcW w:w="1036"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对检验进口大宗资源类商品不合格处置率</w:t>
            </w:r>
          </w:p>
        </w:tc>
        <w:tc>
          <w:tcPr>
            <w:tcW w:w="48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55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480"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873"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20"/>
        </w:trPr>
        <w:tc>
          <w:tcPr>
            <w:tcW w:w="225" w:type="pct"/>
            <w:vMerge/>
            <w:tcBorders>
              <w:top w:val="nil"/>
              <w:left w:val="single" w:sz="4" w:space="0" w:color="000000"/>
              <w:bottom w:val="single" w:sz="4" w:space="0" w:color="000000"/>
              <w:right w:val="single" w:sz="4" w:space="0" w:color="000000"/>
            </w:tcBorders>
            <w:vAlign w:val="center"/>
          </w:tcPr>
          <w:p/>
        </w:tc>
        <w:tc>
          <w:tcPr>
            <w:tcW w:w="367"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满意度指标</w:t>
            </w:r>
          </w:p>
        </w:tc>
        <w:tc>
          <w:tcPr>
            <w:tcW w:w="58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服务对象满意度指标</w:t>
            </w:r>
          </w:p>
        </w:tc>
        <w:tc>
          <w:tcPr>
            <w:tcW w:w="1036" w:type="pct"/>
            <w:gridSpan w:val="5"/>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培训人员满意度</w:t>
            </w:r>
          </w:p>
        </w:tc>
        <w:tc>
          <w:tcPr>
            <w:tcW w:w="485"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≥90%</w:t>
            </w:r>
          </w:p>
        </w:tc>
        <w:tc>
          <w:tcPr>
            <w:tcW w:w="554"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480"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873"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379"/>
        </w:trPr>
        <w:tc>
          <w:tcPr>
            <w:tcW w:w="3251" w:type="pct"/>
            <w:gridSpan w:val="13"/>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总分</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480"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873"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bl>
    <w:p/>
    <w:p>
      <w:pPr>
        <w:widowControl/>
        <w:jc w:val="left"/>
      </w:pPr>
      <w:r>
        <w:br w:type="page"/>
      </w:r>
    </w:p>
    <w:tbl>
      <w:tblPr>
        <w:jc w:val="left"/>
        <w:tblW w:w="5220" w:type="pct"/>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400"/>
        <w:gridCol w:w="528"/>
        <w:gridCol w:w="505"/>
        <w:gridCol w:w="577"/>
        <w:gridCol w:w="82"/>
        <w:gridCol w:w="306"/>
        <w:gridCol w:w="368"/>
        <w:gridCol w:w="484"/>
        <w:gridCol w:w="543"/>
        <w:gridCol w:w="112"/>
        <w:gridCol w:w="884"/>
        <w:gridCol w:w="190"/>
        <w:gridCol w:w="391"/>
        <w:gridCol w:w="274"/>
        <w:gridCol w:w="278"/>
        <w:gridCol w:w="153"/>
        <w:gridCol w:w="146"/>
        <w:gridCol w:w="377"/>
        <w:gridCol w:w="34"/>
        <w:gridCol w:w="148"/>
        <w:gridCol w:w="847"/>
        <w:gridCol w:w="1272"/>
      </w:tblGrid>
      <w:tr>
        <w:trPr>
          <w:trHeight w:val="702"/>
        </w:trPr>
        <w:tc>
          <w:tcPr>
            <w:tcW w:w="5000" w:type="pct"/>
            <w:gridSpan w:val="22"/>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项目支出绩效自评表</w:t>
            </w:r>
          </w:p>
        </w:tc>
      </w:tr>
      <w:tr>
        <w:trPr>
          <w:trHeight w:val="499"/>
        </w:trPr>
        <w:tc>
          <w:tcPr>
            <w:tcW w:w="5000" w:type="pct"/>
            <w:gridSpan w:val="22"/>
            <w:tcBorders>
              <w:top w:val="nil"/>
              <w:left w:val="nil"/>
              <w:bottom w:val="nil"/>
              <w:right w:val="nil"/>
            </w:tcBorders>
            <w:shd w:val="clear" w:color="auto" w:fill="auto"/>
            <w:noWrap/>
            <w:vAlign w:val="center"/>
          </w:tcPr>
          <w:p>
            <w:pPr>
              <w:widowControl/>
              <w:jc w:val="center"/>
              <w:rPr>
                <w:rFonts w:ascii="宋体" w:eastAsia="宋体" w:cs="Arial"/>
                <w:kern w:val="0"/>
                <w:sz w:val="24"/>
                <w:szCs w:val="24"/>
              </w:rPr>
            </w:pPr>
            <w:r>
              <w:rPr>
                <w:rFonts w:ascii="宋体" w:eastAsia="宋体" w:cs="Arial" w:hint="eastAsia"/>
                <w:kern w:val="0"/>
                <w:sz w:val="24"/>
                <w:szCs w:val="24"/>
              </w:rPr>
              <w:t>(2022年度)</w:t>
            </w:r>
          </w:p>
        </w:tc>
      </w:tr>
      <w:tr>
        <w:trPr>
          <w:trHeight w:val="255"/>
        </w:trPr>
        <w:tc>
          <w:tcPr>
            <w:tcW w:w="225"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297"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284"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24"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25" w:type="pct"/>
            <w:gridSpan w:val="3"/>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640" w:type="pct"/>
            <w:gridSpan w:val="3"/>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604"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74"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24" w:type="pct"/>
            <w:gridSpan w:val="3"/>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212"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1293" w:type="pct"/>
            <w:gridSpan w:val="4"/>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r>
      <w:tr>
        <w:trPr>
          <w:trHeight w:val="379"/>
        </w:trPr>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项目名称</w:t>
            </w:r>
          </w:p>
        </w:tc>
        <w:tc>
          <w:tcPr>
            <w:tcW w:w="4478" w:type="pct"/>
            <w:gridSpan w:val="20"/>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国门生物安全专项</w:t>
            </w:r>
          </w:p>
        </w:tc>
      </w:tr>
      <w:tr>
        <w:trPr>
          <w:trHeight w:val="379"/>
        </w:trPr>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主管部门</w:t>
            </w:r>
          </w:p>
        </w:tc>
        <w:tc>
          <w:tcPr>
            <w:tcW w:w="1304"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167海关总署</w:t>
            </w:r>
          </w:p>
        </w:tc>
        <w:tc>
          <w:tcPr>
            <w:tcW w:w="8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实施单位</w:t>
            </w:r>
          </w:p>
        </w:tc>
        <w:tc>
          <w:tcPr>
            <w:tcW w:w="2308" w:type="pct"/>
            <w:gridSpan w:val="11"/>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重庆海关技术中心</w:t>
            </w:r>
          </w:p>
        </w:tc>
      </w:tr>
      <w:tr>
        <w:trPr>
          <w:trHeight w:val="379"/>
        </w:trPr>
        <w:tc>
          <w:tcPr>
            <w:tcW w:w="52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项目资金（万元）</w:t>
            </w:r>
          </w:p>
        </w:tc>
        <w:tc>
          <w:tcPr>
            <w:tcW w:w="82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47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年初预算数</w:t>
            </w:r>
          </w:p>
        </w:tc>
        <w:tc>
          <w:tcPr>
            <w:tcW w:w="8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全年预算数</w:t>
            </w:r>
          </w:p>
        </w:tc>
        <w:tc>
          <w:tcPr>
            <w:tcW w:w="63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全年执行数</w:t>
            </w:r>
          </w:p>
        </w:tc>
        <w:tc>
          <w:tcPr>
            <w:tcW w:w="39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55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执行率</w:t>
            </w:r>
          </w:p>
        </w:tc>
        <w:tc>
          <w:tcPr>
            <w:tcW w:w="71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r>
      <w:tr>
        <w:trPr>
          <w:trHeight w:val="379"/>
        </w:trPr>
        <w:tc>
          <w:tcPr>
            <w:tcW w:w="522"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2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年度资金总额：</w:t>
            </w:r>
          </w:p>
        </w:tc>
        <w:tc>
          <w:tcPr>
            <w:tcW w:w="47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125.60</w:t>
            </w:r>
          </w:p>
        </w:tc>
        <w:tc>
          <w:tcPr>
            <w:tcW w:w="8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125.60</w:t>
            </w:r>
          </w:p>
        </w:tc>
        <w:tc>
          <w:tcPr>
            <w:tcW w:w="63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125.60</w:t>
            </w:r>
          </w:p>
        </w:tc>
        <w:tc>
          <w:tcPr>
            <w:tcW w:w="39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55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71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r>
      <w:tr>
        <w:trPr>
          <w:trHeight w:val="379"/>
        </w:trPr>
        <w:tc>
          <w:tcPr>
            <w:tcW w:w="522"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2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其中：财政拨款</w:t>
            </w:r>
          </w:p>
        </w:tc>
        <w:tc>
          <w:tcPr>
            <w:tcW w:w="47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125.60</w:t>
            </w:r>
          </w:p>
        </w:tc>
        <w:tc>
          <w:tcPr>
            <w:tcW w:w="8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125.60</w:t>
            </w:r>
          </w:p>
        </w:tc>
        <w:tc>
          <w:tcPr>
            <w:tcW w:w="63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125.60</w:t>
            </w:r>
          </w:p>
        </w:tc>
        <w:tc>
          <w:tcPr>
            <w:tcW w:w="39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5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71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522"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2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上年结转资金</w:t>
            </w:r>
          </w:p>
        </w:tc>
        <w:tc>
          <w:tcPr>
            <w:tcW w:w="47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8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3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39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5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71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522" w:type="pct"/>
            <w:gridSpan w:val="2"/>
            <w:vMerge/>
            <w:tcBorders>
              <w:top w:val="single" w:sz="4" w:space="0" w:color="000000"/>
              <w:left w:val="single" w:sz="4" w:space="0" w:color="000000"/>
              <w:bottom w:val="single" w:sz="4" w:space="0" w:color="000000"/>
              <w:right w:val="single" w:sz="4" w:space="0" w:color="000000"/>
            </w:tcBorders>
            <w:vAlign w:val="center"/>
          </w:tcPr>
          <w:p/>
        </w:tc>
        <w:tc>
          <w:tcPr>
            <w:tcW w:w="82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其他资金</w:t>
            </w:r>
          </w:p>
        </w:tc>
        <w:tc>
          <w:tcPr>
            <w:tcW w:w="47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8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3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39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5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713"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225"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年度总体目标</w:t>
            </w:r>
          </w:p>
        </w:tc>
        <w:tc>
          <w:tcPr>
            <w:tcW w:w="2467" w:type="pct"/>
            <w:gridSpan w:val="10"/>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预期目标</w:t>
            </w:r>
          </w:p>
        </w:tc>
        <w:tc>
          <w:tcPr>
            <w:tcW w:w="2308" w:type="pct"/>
            <w:gridSpan w:val="11"/>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实际完成情况</w:t>
            </w:r>
          </w:p>
        </w:tc>
      </w:tr>
      <w:tr>
        <w:trPr>
          <w:trHeight w:val="4050"/>
        </w:trPr>
        <w:tc>
          <w:tcPr>
            <w:tcW w:w="225" w:type="pct"/>
            <w:vMerge/>
            <w:tcBorders>
              <w:top w:val="nil"/>
              <w:left w:val="single" w:sz="4" w:space="0" w:color="000000"/>
              <w:bottom w:val="single" w:sz="4" w:space="0" w:color="000000"/>
              <w:right w:val="single" w:sz="4" w:space="0" w:color="000000"/>
            </w:tcBorders>
            <w:vAlign w:val="center"/>
          </w:tcPr>
          <w:p/>
        </w:tc>
        <w:tc>
          <w:tcPr>
            <w:tcW w:w="2467" w:type="pct"/>
            <w:gridSpan w:val="10"/>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20"/>
                <w:szCs w:val="20"/>
              </w:rPr>
            </w:pPr>
            <w:r>
              <w:rPr>
                <w:rFonts w:ascii="宋体" w:eastAsia="宋体" w:cs="Arial" w:hint="eastAsia"/>
                <w:kern w:val="0"/>
                <w:sz w:val="20"/>
                <w:szCs w:val="20"/>
              </w:rPr>
              <w:t>目标1：开展动植物检疫鉴定工作，有效控制重大动植物疫情疫病和有毒有害物质传入传出，满足进出口动物及动物产品检疫、口岸/边境疫情监控、濒危动物及其制品鉴定需求，检测量大于等于200批。</w:t>
              <w:br/>
              <w:t xml:space="preserve">目标2：开展国门生物安宣传，提升公众的生物安全意识，宣传次数不少于3次。   </w:t>
              <w:br/>
              <w:t>目标3：通过相关能力验证、实验室比对、测试化验工作，保持和提升实验室检测技术能力，参加数量不少于3次。</w:t>
              <w:br/>
              <w:t>目标4：对首次检出检疫性/重大有害生物开展专家复核及专家咨询工作，开展次数不少于1次。</w:t>
              <w:br/>
              <w:t>目标5：购置检测试剂耗材、书籍、鉴定样本，提升口岸动植物保护的检测技术能力，总共购置不少于6批。</w:t>
              <w:br/>
              <w:t>目标6：为动植物及产品进出口提供安全保障；并对重要有害生物进行风险分析，为综合防控提供技术支持；共同维护国家生态安全；有效完善我国外来有害生物防御体系，保护地方经济、生态安全。</w:t>
            </w:r>
          </w:p>
        </w:tc>
        <w:tc>
          <w:tcPr>
            <w:tcW w:w="2308" w:type="pct"/>
            <w:gridSpan w:val="11"/>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20"/>
                <w:szCs w:val="20"/>
              </w:rPr>
            </w:pPr>
            <w:r>
              <w:rPr>
                <w:rFonts w:ascii="宋体" w:eastAsia="宋体" w:cs="Arial" w:hint="eastAsia"/>
                <w:kern w:val="0"/>
                <w:sz w:val="20"/>
                <w:szCs w:val="20"/>
              </w:rPr>
              <w:t>目标1：开展了动植物检疫鉴定工作，有效控制了重大动植物疫情疫病和有毒有害物质传入传出，满足进出口动物及动物产品检疫、口岸/边境疫情监控及其制品鉴定需求，2022年检测量1727批。</w:t>
              <w:br/>
              <w:t xml:space="preserve">目标2：开展国门生物安宣传，提升公众的生物安全意识，2022年宣传次数4次。   </w:t>
              <w:br/>
              <w:t>目标3：通过相关能力验证、实验室比对、测试化验工作，保持和提升实验室检测技术能力，2022年参加能力验证数量16项。</w:t>
              <w:br/>
              <w:t>目标4：对首次检出的哈氏弓背蚁开展了1次专家咨询工作。</w:t>
              <w:br/>
              <w:t>目标5：2022年购置检测试剂耗材、书籍总共11批。</w:t>
              <w:br/>
              <w:t>目标6：通过2022年的动植物实验室检测工作，为动植物及产品进出口提供了安全保障；对越南柚子开展了有害生物风险分析，为综合防控提供了技术支持；通过动植物检疫工作的开展，共同维护了国家生态安全，有效完善我国外来有害生物防御体系，保护地方经济、生态安全。</w:t>
            </w:r>
          </w:p>
        </w:tc>
      </w:tr>
      <w:tr>
        <w:trPr>
          <w:trHeight w:val="462"/>
        </w:trPr>
        <w:tc>
          <w:tcPr>
            <w:tcW w:w="225" w:type="pc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297"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一级指标</w:t>
            </w:r>
          </w:p>
        </w:tc>
        <w:tc>
          <w:tcPr>
            <w:tcW w:w="65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二级指标</w:t>
            </w:r>
          </w:p>
        </w:tc>
        <w:tc>
          <w:tcPr>
            <w:tcW w:w="95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三级指标</w:t>
            </w:r>
          </w:p>
        </w:tc>
        <w:tc>
          <w:tcPr>
            <w:tcW w:w="56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年度指标值</w:t>
            </w:r>
          </w:p>
        </w:tc>
        <w:tc>
          <w:tcPr>
            <w:tcW w:w="32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实际完成值</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39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c>
          <w:tcPr>
            <w:tcW w:w="118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偏差原因分析及改进措施</w:t>
            </w:r>
          </w:p>
        </w:tc>
      </w:tr>
      <w:tr>
        <w:trPr>
          <w:trHeight w:val="1650"/>
        </w:trPr>
        <w:tc>
          <w:tcPr>
            <w:tcW w:w="225"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绩效指标</w:t>
            </w:r>
          </w:p>
        </w:tc>
        <w:tc>
          <w:tcPr>
            <w:tcW w:w="297"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产出指标</w:t>
            </w:r>
          </w:p>
        </w:tc>
        <w:tc>
          <w:tcPr>
            <w:tcW w:w="65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数量指标</w:t>
            </w:r>
          </w:p>
        </w:tc>
        <w:tc>
          <w:tcPr>
            <w:tcW w:w="95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年度检测业务量</w:t>
            </w:r>
          </w:p>
        </w:tc>
        <w:tc>
          <w:tcPr>
            <w:tcW w:w="56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≥200批次</w:t>
            </w:r>
          </w:p>
        </w:tc>
        <w:tc>
          <w:tcPr>
            <w:tcW w:w="32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1727批次</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10.0 </w:t>
            </w:r>
          </w:p>
        </w:tc>
        <w:tc>
          <w:tcPr>
            <w:tcW w:w="39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9.5 </w:t>
            </w:r>
          </w:p>
        </w:tc>
        <w:tc>
          <w:tcPr>
            <w:tcW w:w="118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因疫情原因，年初预计数量相对较低，同时因技术中心法检任务来源于各隶属关，检测批次数由各个隶属关实际送样决定，技术中心无法进行准确预估。因此实际完成值较年度指标值偏差过大。下一步我中心将加强跟隶属关的沟通交流，及时了解业务动态，提高预估准确性。</w:t>
            </w:r>
          </w:p>
        </w:tc>
      </w:tr>
      <w:tr>
        <w:trPr>
          <w:trHeight w:val="255"/>
        </w:trPr>
        <w:tc>
          <w:tcPr>
            <w:tcW w:w="225" w:type="pct"/>
            <w:vMerge/>
            <w:tcBorders>
              <w:top w:val="nil"/>
              <w:left w:val="single" w:sz="4" w:space="0" w:color="000000"/>
              <w:bottom w:val="single" w:sz="4" w:space="0" w:color="000000"/>
              <w:right w:val="single" w:sz="4" w:space="0" w:color="000000"/>
            </w:tcBorders>
            <w:vAlign w:val="center"/>
          </w:tcPr>
          <w:p/>
        </w:tc>
        <w:tc>
          <w:tcPr>
            <w:tcW w:w="297" w:type="pct"/>
            <w:vMerge/>
            <w:tcBorders>
              <w:top w:val="nil"/>
              <w:left w:val="single" w:sz="4" w:space="0" w:color="000000"/>
              <w:bottom w:val="single" w:sz="4" w:space="0" w:color="000000"/>
              <w:right w:val="single" w:sz="4" w:space="0" w:color="000000"/>
            </w:tcBorders>
            <w:vAlign w:val="center"/>
          </w:tcPr>
          <w:p/>
        </w:tc>
        <w:tc>
          <w:tcPr>
            <w:tcW w:w="65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数量指标</w:t>
            </w:r>
          </w:p>
        </w:tc>
        <w:tc>
          <w:tcPr>
            <w:tcW w:w="95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开展国门生物安全宣传</w:t>
            </w:r>
          </w:p>
        </w:tc>
        <w:tc>
          <w:tcPr>
            <w:tcW w:w="56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≥3次</w:t>
            </w:r>
          </w:p>
        </w:tc>
        <w:tc>
          <w:tcPr>
            <w:tcW w:w="32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4次</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39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118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255"/>
        </w:trPr>
        <w:tc>
          <w:tcPr>
            <w:tcW w:w="225" w:type="pct"/>
            <w:vMerge/>
            <w:tcBorders>
              <w:top w:val="nil"/>
              <w:left w:val="single" w:sz="4" w:space="0" w:color="000000"/>
              <w:bottom w:val="single" w:sz="4" w:space="0" w:color="000000"/>
              <w:right w:val="single" w:sz="4" w:space="0" w:color="000000"/>
            </w:tcBorders>
            <w:vAlign w:val="center"/>
          </w:tcPr>
          <w:p/>
        </w:tc>
        <w:tc>
          <w:tcPr>
            <w:tcW w:w="297" w:type="pct"/>
            <w:vMerge/>
            <w:tcBorders>
              <w:top w:val="nil"/>
              <w:left w:val="single" w:sz="4" w:space="0" w:color="000000"/>
              <w:bottom w:val="single" w:sz="4" w:space="0" w:color="000000"/>
              <w:right w:val="single" w:sz="4" w:space="0" w:color="000000"/>
            </w:tcBorders>
            <w:vAlign w:val="center"/>
          </w:tcPr>
          <w:p/>
        </w:tc>
        <w:tc>
          <w:tcPr>
            <w:tcW w:w="65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数量指标</w:t>
            </w:r>
          </w:p>
        </w:tc>
        <w:tc>
          <w:tcPr>
            <w:tcW w:w="95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检疫性有害生物检出</w:t>
            </w:r>
          </w:p>
        </w:tc>
        <w:tc>
          <w:tcPr>
            <w:tcW w:w="56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≥10批次</w:t>
            </w:r>
          </w:p>
        </w:tc>
        <w:tc>
          <w:tcPr>
            <w:tcW w:w="32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13批次</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39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118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297" w:type="pct"/>
            <w:vMerge/>
            <w:tcBorders>
              <w:top w:val="nil"/>
              <w:left w:val="single" w:sz="4" w:space="0" w:color="000000"/>
              <w:bottom w:val="single" w:sz="4" w:space="0" w:color="000000"/>
              <w:right w:val="single" w:sz="4" w:space="0" w:color="000000"/>
            </w:tcBorders>
            <w:vAlign w:val="center"/>
          </w:tcPr>
          <w:p/>
        </w:tc>
        <w:tc>
          <w:tcPr>
            <w:tcW w:w="65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95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完成当年主管部门下达的法定检验任务</w:t>
            </w:r>
          </w:p>
        </w:tc>
        <w:tc>
          <w:tcPr>
            <w:tcW w:w="56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2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39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118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20"/>
        </w:trPr>
        <w:tc>
          <w:tcPr>
            <w:tcW w:w="225" w:type="pct"/>
            <w:vMerge/>
            <w:tcBorders>
              <w:top w:val="nil"/>
              <w:left w:val="single" w:sz="4" w:space="0" w:color="000000"/>
              <w:bottom w:val="single" w:sz="4" w:space="0" w:color="000000"/>
              <w:right w:val="single" w:sz="4" w:space="0" w:color="000000"/>
            </w:tcBorders>
            <w:vAlign w:val="center"/>
          </w:tcPr>
          <w:p/>
        </w:tc>
        <w:tc>
          <w:tcPr>
            <w:tcW w:w="297" w:type="pct"/>
            <w:vMerge/>
            <w:tcBorders>
              <w:top w:val="nil"/>
              <w:left w:val="single" w:sz="4" w:space="0" w:color="000000"/>
              <w:bottom w:val="single" w:sz="4" w:space="0" w:color="000000"/>
              <w:right w:val="single" w:sz="4" w:space="0" w:color="000000"/>
            </w:tcBorders>
            <w:vAlign w:val="center"/>
          </w:tcPr>
          <w:p/>
        </w:tc>
        <w:tc>
          <w:tcPr>
            <w:tcW w:w="65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时效指标</w:t>
            </w:r>
          </w:p>
        </w:tc>
        <w:tc>
          <w:tcPr>
            <w:tcW w:w="95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按照年度计划完成当年主管部门下达的法定检验任务及时率</w:t>
            </w:r>
          </w:p>
        </w:tc>
        <w:tc>
          <w:tcPr>
            <w:tcW w:w="56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2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39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 </w:t>
            </w:r>
          </w:p>
        </w:tc>
        <w:tc>
          <w:tcPr>
            <w:tcW w:w="118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297"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效益指标</w:t>
            </w:r>
          </w:p>
        </w:tc>
        <w:tc>
          <w:tcPr>
            <w:tcW w:w="65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社会效益指标</w:t>
            </w:r>
          </w:p>
        </w:tc>
        <w:tc>
          <w:tcPr>
            <w:tcW w:w="95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有害生物检出准确率</w:t>
            </w:r>
          </w:p>
        </w:tc>
        <w:tc>
          <w:tcPr>
            <w:tcW w:w="56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2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39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118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25" w:type="pct"/>
            <w:vMerge/>
            <w:tcBorders>
              <w:top w:val="nil"/>
              <w:left w:val="single" w:sz="4" w:space="0" w:color="000000"/>
              <w:bottom w:val="single" w:sz="4" w:space="0" w:color="000000"/>
              <w:right w:val="single" w:sz="4" w:space="0" w:color="000000"/>
            </w:tcBorders>
            <w:vAlign w:val="center"/>
          </w:tcPr>
          <w:p/>
        </w:tc>
        <w:tc>
          <w:tcPr>
            <w:tcW w:w="297" w:type="pct"/>
            <w:vMerge/>
            <w:tcBorders>
              <w:top w:val="nil"/>
              <w:left w:val="single" w:sz="4" w:space="0" w:color="000000"/>
              <w:bottom w:val="single" w:sz="4" w:space="0" w:color="000000"/>
              <w:right w:val="single" w:sz="4" w:space="0" w:color="000000"/>
            </w:tcBorders>
            <w:vAlign w:val="center"/>
          </w:tcPr>
          <w:p/>
        </w:tc>
        <w:tc>
          <w:tcPr>
            <w:tcW w:w="65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社会效益指标</w:t>
            </w:r>
          </w:p>
        </w:tc>
        <w:tc>
          <w:tcPr>
            <w:tcW w:w="95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有效防范外来有害生物的入侵，确保国门安全</w:t>
            </w:r>
          </w:p>
        </w:tc>
        <w:tc>
          <w:tcPr>
            <w:tcW w:w="56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2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39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118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20"/>
        </w:trPr>
        <w:tc>
          <w:tcPr>
            <w:tcW w:w="225" w:type="pct"/>
            <w:vMerge/>
            <w:tcBorders>
              <w:top w:val="nil"/>
              <w:left w:val="single" w:sz="4" w:space="0" w:color="000000"/>
              <w:bottom w:val="single" w:sz="4" w:space="0" w:color="000000"/>
              <w:right w:val="single" w:sz="4" w:space="0" w:color="000000"/>
            </w:tcBorders>
            <w:vAlign w:val="center"/>
          </w:tcPr>
          <w:p/>
        </w:tc>
        <w:tc>
          <w:tcPr>
            <w:tcW w:w="297"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满意度指标</w:t>
            </w:r>
          </w:p>
        </w:tc>
        <w:tc>
          <w:tcPr>
            <w:tcW w:w="65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服务对象满意度指标</w:t>
            </w:r>
          </w:p>
        </w:tc>
        <w:tc>
          <w:tcPr>
            <w:tcW w:w="95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公众对国门生物宣传工作满意度</w:t>
            </w:r>
          </w:p>
        </w:tc>
        <w:tc>
          <w:tcPr>
            <w:tcW w:w="56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≥95%</w:t>
            </w:r>
          </w:p>
        </w:tc>
        <w:tc>
          <w:tcPr>
            <w:tcW w:w="32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39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118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20"/>
        </w:trPr>
        <w:tc>
          <w:tcPr>
            <w:tcW w:w="225" w:type="pct"/>
            <w:vMerge/>
            <w:tcBorders>
              <w:top w:val="nil"/>
              <w:left w:val="single" w:sz="4" w:space="0" w:color="000000"/>
              <w:bottom w:val="single" w:sz="4" w:space="0" w:color="000000"/>
              <w:right w:val="single" w:sz="4" w:space="0" w:color="000000"/>
            </w:tcBorders>
            <w:vAlign w:val="center"/>
          </w:tcPr>
          <w:p/>
        </w:tc>
        <w:tc>
          <w:tcPr>
            <w:tcW w:w="297" w:type="pct"/>
            <w:vMerge/>
            <w:tcBorders>
              <w:top w:val="nil"/>
              <w:left w:val="single" w:sz="4" w:space="0" w:color="000000"/>
              <w:bottom w:val="single" w:sz="4" w:space="0" w:color="000000"/>
              <w:right w:val="single" w:sz="4" w:space="0" w:color="000000"/>
            </w:tcBorders>
            <w:vAlign w:val="center"/>
          </w:tcPr>
          <w:p/>
        </w:tc>
        <w:tc>
          <w:tcPr>
            <w:tcW w:w="65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服务对象满意度指标</w:t>
            </w:r>
          </w:p>
        </w:tc>
        <w:tc>
          <w:tcPr>
            <w:tcW w:w="956"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用户对于检测报告满意度</w:t>
            </w:r>
          </w:p>
        </w:tc>
        <w:tc>
          <w:tcPr>
            <w:tcW w:w="560"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≥95%</w:t>
            </w:r>
          </w:p>
        </w:tc>
        <w:tc>
          <w:tcPr>
            <w:tcW w:w="327"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39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118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379"/>
        </w:trPr>
        <w:tc>
          <w:tcPr>
            <w:tcW w:w="3019" w:type="pct"/>
            <w:gridSpan w:val="13"/>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总分</w:t>
            </w:r>
          </w:p>
        </w:tc>
        <w:tc>
          <w:tcPr>
            <w:tcW w:w="39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39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99.5 </w:t>
            </w:r>
          </w:p>
        </w:tc>
        <w:tc>
          <w:tcPr>
            <w:tcW w:w="1189" w:type="pct"/>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bl>
    <w:p/>
    <w:p/>
    <w:p>
      <w:pPr>
        <w:widowControl/>
        <w:jc w:val="center"/>
      </w:pPr>
      <w:r>
        <w:br w:type="page"/>
      </w:r>
      <w:r>
        <w:rPr>
          <w:rFonts w:ascii="黑体" w:eastAsia="黑体" w:cs="Arial" w:hint="eastAsia"/>
          <w:kern w:val="0"/>
          <w:sz w:val="32"/>
          <w:szCs w:val="32"/>
        </w:rPr>
        <w:t>项目支出绩效自评表</w:t>
      </w:r>
    </w:p>
    <w:tbl>
      <w:tblPr>
        <w:jc w:val="left"/>
        <w:tblW w:w="5386"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397"/>
        <w:gridCol w:w="654"/>
        <w:gridCol w:w="55"/>
        <w:gridCol w:w="129"/>
        <w:gridCol w:w="457"/>
        <w:gridCol w:w="138"/>
        <w:gridCol w:w="387"/>
        <w:gridCol w:w="211"/>
        <w:gridCol w:w="72"/>
        <w:gridCol w:w="154"/>
        <w:gridCol w:w="608"/>
        <w:gridCol w:w="316"/>
        <w:gridCol w:w="68"/>
        <w:gridCol w:w="141"/>
        <w:gridCol w:w="149"/>
        <w:gridCol w:w="162"/>
        <w:gridCol w:w="406"/>
        <w:gridCol w:w="285"/>
        <w:gridCol w:w="143"/>
        <w:gridCol w:w="516"/>
        <w:gridCol w:w="477"/>
        <w:gridCol w:w="61"/>
        <w:gridCol w:w="132"/>
        <w:gridCol w:w="88"/>
        <w:gridCol w:w="435"/>
        <w:gridCol w:w="18"/>
        <w:gridCol w:w="136"/>
        <w:gridCol w:w="266"/>
        <w:gridCol w:w="229"/>
        <w:gridCol w:w="39"/>
        <w:gridCol w:w="327"/>
        <w:gridCol w:w="241"/>
        <w:gridCol w:w="1287"/>
      </w:tblGrid>
      <w:tr>
        <w:trPr>
          <w:trHeight w:val="499"/>
        </w:trPr>
        <w:tc>
          <w:tcPr>
            <w:tcW w:w="5000" w:type="pct"/>
            <w:gridSpan w:val="33"/>
            <w:tcBorders>
              <w:top w:val="nil"/>
              <w:left w:val="nil"/>
              <w:bottom w:val="nil"/>
              <w:right w:val="nil"/>
            </w:tcBorders>
            <w:shd w:val="clear" w:color="auto" w:fill="auto"/>
            <w:noWrap/>
            <w:vAlign w:val="center"/>
          </w:tcPr>
          <w:p>
            <w:pPr>
              <w:widowControl/>
              <w:jc w:val="center"/>
              <w:rPr>
                <w:rFonts w:ascii="宋体" w:eastAsia="宋体" w:cs="Arial"/>
                <w:kern w:val="0"/>
                <w:sz w:val="24"/>
                <w:szCs w:val="24"/>
              </w:rPr>
            </w:pPr>
            <w:r>
              <w:rPr>
                <w:rFonts w:ascii="宋体" w:eastAsia="宋体" w:cs="Arial" w:hint="eastAsia"/>
                <w:kern w:val="0"/>
                <w:sz w:val="24"/>
                <w:szCs w:val="24"/>
              </w:rPr>
              <w:t>(2022年度)</w:t>
            </w:r>
          </w:p>
        </w:tc>
      </w:tr>
      <w:tr>
        <w:trPr>
          <w:trHeight w:val="255"/>
        </w:trPr>
        <w:tc>
          <w:tcPr>
            <w:tcW w:w="216"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56"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49" w:type="pct"/>
            <w:gridSpan w:val="3"/>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01" w:type="pct"/>
            <w:gridSpan w:val="3"/>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54" w:type="pct"/>
            <w:gridSpan w:val="3"/>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55" w:type="pct"/>
            <w:gridSpan w:val="5"/>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734" w:type="pct"/>
            <w:gridSpan w:val="4"/>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65" w:type="pct"/>
            <w:gridSpan w:val="3"/>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69" w:type="pct"/>
            <w:gridSpan w:val="4"/>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270"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1031" w:type="pct"/>
            <w:gridSpan w:val="4"/>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r>
      <w:tr>
        <w:trPr>
          <w:trHeight w:val="379"/>
        </w:trPr>
        <w:tc>
          <w:tcPr>
            <w:tcW w:w="57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项目名称</w:t>
            </w:r>
          </w:p>
        </w:tc>
        <w:tc>
          <w:tcPr>
            <w:tcW w:w="4429" w:type="pct"/>
            <w:gridSpan w:val="31"/>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口岸公共卫生安全专项</w:t>
            </w:r>
          </w:p>
        </w:tc>
      </w:tr>
      <w:tr>
        <w:trPr>
          <w:trHeight w:val="379"/>
        </w:trPr>
        <w:tc>
          <w:tcPr>
            <w:tcW w:w="57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主管部门</w:t>
            </w:r>
          </w:p>
        </w:tc>
        <w:tc>
          <w:tcPr>
            <w:tcW w:w="1413" w:type="pct"/>
            <w:gridSpan w:val="11"/>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167 海关总署</w:t>
            </w:r>
          </w:p>
        </w:tc>
        <w:tc>
          <w:tcPr>
            <w:tcW w:w="621"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实施单位</w:t>
            </w:r>
          </w:p>
        </w:tc>
        <w:tc>
          <w:tcPr>
            <w:tcW w:w="2394" w:type="pct"/>
            <w:gridSpan w:val="1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重庆海关技术中心</w:t>
            </w:r>
          </w:p>
        </w:tc>
      </w:tr>
      <w:tr>
        <w:trPr>
          <w:trHeight w:val="379"/>
        </w:trPr>
        <w:tc>
          <w:tcPr>
            <w:tcW w:w="57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项目资金（万元）</w:t>
            </w:r>
          </w:p>
        </w:tc>
        <w:tc>
          <w:tcPr>
            <w:tcW w:w="789"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624"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年初预算数</w:t>
            </w:r>
          </w:p>
        </w:tc>
        <w:tc>
          <w:tcPr>
            <w:tcW w:w="621"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全年预算数</w:t>
            </w:r>
          </w:p>
        </w:tc>
        <w:tc>
          <w:tcPr>
            <w:tcW w:w="619"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全年执行数</w:t>
            </w:r>
          </w:p>
        </w:tc>
        <w:tc>
          <w:tcPr>
            <w:tcW w:w="39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553"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执行率</w:t>
            </w:r>
          </w:p>
        </w:tc>
        <w:tc>
          <w:tcPr>
            <w:tcW w:w="83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r>
      <w:tr>
        <w:trPr>
          <w:trHeight w:val="379"/>
        </w:trPr>
        <w:tc>
          <w:tcPr>
            <w:tcW w:w="571" w:type="pct"/>
            <w:gridSpan w:val="2"/>
            <w:vMerge/>
            <w:tcBorders>
              <w:top w:val="single" w:sz="4" w:space="0" w:color="000000"/>
              <w:left w:val="single" w:sz="4" w:space="0" w:color="000000"/>
              <w:bottom w:val="single" w:sz="4" w:space="0" w:color="000000"/>
              <w:right w:val="single" w:sz="4" w:space="0" w:color="000000"/>
            </w:tcBorders>
            <w:vAlign w:val="center"/>
          </w:tcPr>
          <w:p/>
        </w:tc>
        <w:tc>
          <w:tcPr>
            <w:tcW w:w="789"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年度资金总额：</w:t>
            </w:r>
          </w:p>
        </w:tc>
        <w:tc>
          <w:tcPr>
            <w:tcW w:w="624"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14.97</w:t>
            </w:r>
          </w:p>
        </w:tc>
        <w:tc>
          <w:tcPr>
            <w:tcW w:w="621"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14.97</w:t>
            </w:r>
          </w:p>
        </w:tc>
        <w:tc>
          <w:tcPr>
            <w:tcW w:w="619"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14.97</w:t>
            </w:r>
          </w:p>
        </w:tc>
        <w:tc>
          <w:tcPr>
            <w:tcW w:w="39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553"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83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r>
      <w:tr>
        <w:trPr>
          <w:trHeight w:val="379"/>
        </w:trPr>
        <w:tc>
          <w:tcPr>
            <w:tcW w:w="571" w:type="pct"/>
            <w:gridSpan w:val="2"/>
            <w:vMerge/>
            <w:tcBorders>
              <w:top w:val="single" w:sz="4" w:space="0" w:color="000000"/>
              <w:left w:val="single" w:sz="4" w:space="0" w:color="000000"/>
              <w:bottom w:val="single" w:sz="4" w:space="0" w:color="000000"/>
              <w:right w:val="single" w:sz="4" w:space="0" w:color="000000"/>
            </w:tcBorders>
            <w:vAlign w:val="center"/>
          </w:tcPr>
          <w:p/>
        </w:tc>
        <w:tc>
          <w:tcPr>
            <w:tcW w:w="789"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其中：财政拨款</w:t>
            </w:r>
          </w:p>
        </w:tc>
        <w:tc>
          <w:tcPr>
            <w:tcW w:w="624"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14.97</w:t>
            </w:r>
          </w:p>
        </w:tc>
        <w:tc>
          <w:tcPr>
            <w:tcW w:w="621"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14.97</w:t>
            </w:r>
          </w:p>
        </w:tc>
        <w:tc>
          <w:tcPr>
            <w:tcW w:w="619"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14.97</w:t>
            </w:r>
          </w:p>
        </w:tc>
        <w:tc>
          <w:tcPr>
            <w:tcW w:w="39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53"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83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571" w:type="pct"/>
            <w:gridSpan w:val="2"/>
            <w:vMerge/>
            <w:tcBorders>
              <w:top w:val="single" w:sz="4" w:space="0" w:color="000000"/>
              <w:left w:val="single" w:sz="4" w:space="0" w:color="000000"/>
              <w:bottom w:val="single" w:sz="4" w:space="0" w:color="000000"/>
              <w:right w:val="single" w:sz="4" w:space="0" w:color="000000"/>
            </w:tcBorders>
            <w:vAlign w:val="center"/>
          </w:tcPr>
          <w:p/>
        </w:tc>
        <w:tc>
          <w:tcPr>
            <w:tcW w:w="789"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上年结转资金</w:t>
            </w:r>
          </w:p>
        </w:tc>
        <w:tc>
          <w:tcPr>
            <w:tcW w:w="624"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21"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19"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39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53"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83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571" w:type="pct"/>
            <w:gridSpan w:val="2"/>
            <w:vMerge/>
            <w:tcBorders>
              <w:top w:val="single" w:sz="4" w:space="0" w:color="000000"/>
              <w:left w:val="single" w:sz="4" w:space="0" w:color="000000"/>
              <w:bottom w:val="single" w:sz="4" w:space="0" w:color="000000"/>
              <w:right w:val="single" w:sz="4" w:space="0" w:color="000000"/>
            </w:tcBorders>
            <w:vAlign w:val="center"/>
          </w:tcPr>
          <w:p/>
        </w:tc>
        <w:tc>
          <w:tcPr>
            <w:tcW w:w="789"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其他资金</w:t>
            </w:r>
          </w:p>
        </w:tc>
        <w:tc>
          <w:tcPr>
            <w:tcW w:w="624"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21"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19"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39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553"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832"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216"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年度总体目标</w:t>
            </w:r>
          </w:p>
        </w:tc>
        <w:tc>
          <w:tcPr>
            <w:tcW w:w="2391" w:type="pct"/>
            <w:gridSpan w:val="17"/>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预期目标</w:t>
            </w:r>
          </w:p>
        </w:tc>
        <w:tc>
          <w:tcPr>
            <w:tcW w:w="2394" w:type="pct"/>
            <w:gridSpan w:val="1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实际完成情况</w:t>
            </w:r>
          </w:p>
        </w:tc>
      </w:tr>
      <w:tr>
        <w:trPr>
          <w:trHeight w:val="1902"/>
        </w:trPr>
        <w:tc>
          <w:tcPr>
            <w:tcW w:w="216" w:type="pct"/>
            <w:vMerge/>
            <w:tcBorders>
              <w:top w:val="nil"/>
              <w:left w:val="single" w:sz="4" w:space="0" w:color="000000"/>
              <w:bottom w:val="single" w:sz="4" w:space="0" w:color="000000"/>
              <w:right w:val="single" w:sz="4" w:space="0" w:color="000000"/>
            </w:tcBorders>
            <w:vAlign w:val="center"/>
          </w:tcPr>
          <w:p/>
        </w:tc>
        <w:tc>
          <w:tcPr>
            <w:tcW w:w="2391" w:type="pct"/>
            <w:gridSpan w:val="17"/>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18"/>
                <w:szCs w:val="18"/>
              </w:rPr>
            </w:pPr>
            <w:r>
              <w:rPr>
                <w:rFonts w:ascii="宋体" w:eastAsia="宋体" w:cs="Arial" w:hint="eastAsia"/>
                <w:kern w:val="0"/>
                <w:sz w:val="18"/>
                <w:szCs w:val="18"/>
              </w:rPr>
              <w:t>通过国门公共卫生安全知识宣传，满足口岸公共卫生安全监测需求。做好口岸食品的卫生监督风险监控，包括水质检测、公共卫生检测、食品检测等，保障重庆口岸每年的卫生监督法检工作；开展病原微生物卫生安全宣传及集体学习培训，航空食品企业卫生专项检测，航空餐饮专项检测，公共场所监测、饮用水监测等，提升民众的卫生防控意识，共同维口岸安全，保护人体健康和经济健康发展。</w:t>
            </w:r>
          </w:p>
        </w:tc>
        <w:tc>
          <w:tcPr>
            <w:tcW w:w="2394" w:type="pct"/>
            <w:gridSpan w:val="15"/>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18"/>
                <w:szCs w:val="18"/>
              </w:rPr>
            </w:pPr>
            <w:r>
              <w:rPr>
                <w:rFonts w:ascii="宋体" w:eastAsia="宋体" w:cs="Arial" w:hint="eastAsia"/>
                <w:kern w:val="0"/>
                <w:sz w:val="18"/>
                <w:szCs w:val="18"/>
              </w:rPr>
              <w:t>通过开展科普活动进行国门公共卫生安全知识宣传，提升民众的卫生防控意识。开展了包括水质检测、公共卫生检测、食品检测在内的口岸食品卫生监督风险监控，合计366批，1020项，为重庆口岸卫生监督提供了技术保障；为口岸一线人员进行了餐饮食品及包装材料、公共场所监测、饮用水监测等技术培训，维护了口岸安全，保护人体健康和经济健康发展。</w:t>
            </w:r>
          </w:p>
        </w:tc>
      </w:tr>
      <w:tr>
        <w:trPr>
          <w:trHeight w:val="462"/>
        </w:trPr>
        <w:tc>
          <w:tcPr>
            <w:tcW w:w="216" w:type="pc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356"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一级指标</w:t>
            </w:r>
          </w:p>
        </w:tc>
        <w:tc>
          <w:tcPr>
            <w:tcW w:w="635"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二级指标</w:t>
            </w:r>
          </w:p>
        </w:tc>
        <w:tc>
          <w:tcPr>
            <w:tcW w:w="855"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三级指标</w:t>
            </w:r>
          </w:p>
        </w:tc>
        <w:tc>
          <w:tcPr>
            <w:tcW w:w="54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年度指标值</w:t>
            </w:r>
          </w:p>
        </w:tc>
        <w:tc>
          <w:tcPr>
            <w:tcW w:w="35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实际完成值</w:t>
            </w:r>
          </w:p>
        </w:tc>
        <w:tc>
          <w:tcPr>
            <w:tcW w:w="3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36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c>
          <w:tcPr>
            <w:tcW w:w="1301"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偏差原因分析及改进措施</w:t>
            </w:r>
          </w:p>
        </w:tc>
      </w:tr>
      <w:tr>
        <w:trPr>
          <w:trHeight w:val="480"/>
        </w:trPr>
        <w:tc>
          <w:tcPr>
            <w:tcW w:w="216"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绩效指标</w:t>
            </w:r>
          </w:p>
        </w:tc>
        <w:tc>
          <w:tcPr>
            <w:tcW w:w="356"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产出指标</w:t>
            </w:r>
          </w:p>
        </w:tc>
        <w:tc>
          <w:tcPr>
            <w:tcW w:w="635"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855"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当年主管部门下达的法定检验任务完成率</w:t>
            </w:r>
          </w:p>
        </w:tc>
        <w:tc>
          <w:tcPr>
            <w:tcW w:w="54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5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16.0 </w:t>
            </w:r>
          </w:p>
        </w:tc>
        <w:tc>
          <w:tcPr>
            <w:tcW w:w="36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16.0 </w:t>
            </w:r>
          </w:p>
        </w:tc>
        <w:tc>
          <w:tcPr>
            <w:tcW w:w="1301"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255"/>
        </w:trPr>
        <w:tc>
          <w:tcPr>
            <w:tcW w:w="216" w:type="pct"/>
            <w:vMerge/>
            <w:tcBorders>
              <w:top w:val="nil"/>
              <w:left w:val="single" w:sz="4" w:space="0" w:color="000000"/>
              <w:bottom w:val="single" w:sz="4" w:space="0" w:color="000000"/>
              <w:right w:val="single" w:sz="4" w:space="0" w:color="000000"/>
            </w:tcBorders>
            <w:vAlign w:val="center"/>
          </w:tcPr>
          <w:p/>
        </w:tc>
        <w:tc>
          <w:tcPr>
            <w:tcW w:w="356" w:type="pct"/>
            <w:vMerge/>
            <w:tcBorders>
              <w:top w:val="nil"/>
              <w:left w:val="single" w:sz="4" w:space="0" w:color="000000"/>
              <w:bottom w:val="single" w:sz="4" w:space="0" w:color="000000"/>
              <w:right w:val="single" w:sz="4" w:space="0" w:color="000000"/>
            </w:tcBorders>
            <w:vAlign w:val="center"/>
          </w:tcPr>
          <w:p/>
        </w:tc>
        <w:tc>
          <w:tcPr>
            <w:tcW w:w="635"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质量指标</w:t>
            </w:r>
          </w:p>
        </w:tc>
        <w:tc>
          <w:tcPr>
            <w:tcW w:w="855"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试剂耗材购置合格率</w:t>
            </w:r>
          </w:p>
        </w:tc>
        <w:tc>
          <w:tcPr>
            <w:tcW w:w="54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≥95%</w:t>
            </w:r>
          </w:p>
        </w:tc>
        <w:tc>
          <w:tcPr>
            <w:tcW w:w="35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17.0 </w:t>
            </w:r>
          </w:p>
        </w:tc>
        <w:tc>
          <w:tcPr>
            <w:tcW w:w="36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17.0 </w:t>
            </w:r>
          </w:p>
        </w:tc>
        <w:tc>
          <w:tcPr>
            <w:tcW w:w="1301"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16" w:type="pct"/>
            <w:vMerge/>
            <w:tcBorders>
              <w:top w:val="nil"/>
              <w:left w:val="single" w:sz="4" w:space="0" w:color="000000"/>
              <w:bottom w:val="single" w:sz="4" w:space="0" w:color="000000"/>
              <w:right w:val="single" w:sz="4" w:space="0" w:color="000000"/>
            </w:tcBorders>
            <w:vAlign w:val="center"/>
          </w:tcPr>
          <w:p/>
        </w:tc>
        <w:tc>
          <w:tcPr>
            <w:tcW w:w="356" w:type="pct"/>
            <w:vMerge/>
            <w:tcBorders>
              <w:top w:val="nil"/>
              <w:left w:val="single" w:sz="4" w:space="0" w:color="000000"/>
              <w:bottom w:val="single" w:sz="4" w:space="0" w:color="000000"/>
              <w:right w:val="single" w:sz="4" w:space="0" w:color="000000"/>
            </w:tcBorders>
            <w:vAlign w:val="center"/>
          </w:tcPr>
          <w:p/>
        </w:tc>
        <w:tc>
          <w:tcPr>
            <w:tcW w:w="635"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时效指标</w:t>
            </w:r>
          </w:p>
        </w:tc>
        <w:tc>
          <w:tcPr>
            <w:tcW w:w="855"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试剂耗材购置完成及时率</w:t>
            </w:r>
          </w:p>
        </w:tc>
        <w:tc>
          <w:tcPr>
            <w:tcW w:w="54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5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17.0 </w:t>
            </w:r>
          </w:p>
        </w:tc>
        <w:tc>
          <w:tcPr>
            <w:tcW w:w="36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17.0 </w:t>
            </w:r>
          </w:p>
        </w:tc>
        <w:tc>
          <w:tcPr>
            <w:tcW w:w="1301"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16" w:type="pct"/>
            <w:vMerge/>
            <w:tcBorders>
              <w:top w:val="nil"/>
              <w:left w:val="single" w:sz="4" w:space="0" w:color="000000"/>
              <w:bottom w:val="single" w:sz="4" w:space="0" w:color="000000"/>
              <w:right w:val="single" w:sz="4" w:space="0" w:color="000000"/>
            </w:tcBorders>
            <w:vAlign w:val="center"/>
          </w:tcPr>
          <w:p/>
        </w:tc>
        <w:tc>
          <w:tcPr>
            <w:tcW w:w="356"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效益指标</w:t>
            </w:r>
          </w:p>
        </w:tc>
        <w:tc>
          <w:tcPr>
            <w:tcW w:w="635"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社会效益指标</w:t>
            </w:r>
          </w:p>
        </w:tc>
        <w:tc>
          <w:tcPr>
            <w:tcW w:w="855"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口岸公共场所监测覆盖率</w:t>
            </w:r>
          </w:p>
        </w:tc>
        <w:tc>
          <w:tcPr>
            <w:tcW w:w="54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≥90%</w:t>
            </w:r>
          </w:p>
        </w:tc>
        <w:tc>
          <w:tcPr>
            <w:tcW w:w="35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36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1301"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480"/>
        </w:trPr>
        <w:tc>
          <w:tcPr>
            <w:tcW w:w="216" w:type="pct"/>
            <w:vMerge/>
            <w:tcBorders>
              <w:top w:val="nil"/>
              <w:left w:val="single" w:sz="4" w:space="0" w:color="000000"/>
              <w:bottom w:val="single" w:sz="4" w:space="0" w:color="000000"/>
              <w:right w:val="single" w:sz="4" w:space="0" w:color="000000"/>
            </w:tcBorders>
            <w:vAlign w:val="center"/>
          </w:tcPr>
          <w:p/>
        </w:tc>
        <w:tc>
          <w:tcPr>
            <w:tcW w:w="356" w:type="pct"/>
            <w:vMerge/>
            <w:tcBorders>
              <w:top w:val="nil"/>
              <w:left w:val="single" w:sz="4" w:space="0" w:color="000000"/>
              <w:bottom w:val="single" w:sz="4" w:space="0" w:color="000000"/>
              <w:right w:val="single" w:sz="4" w:space="0" w:color="000000"/>
            </w:tcBorders>
            <w:vAlign w:val="center"/>
          </w:tcPr>
          <w:p/>
        </w:tc>
        <w:tc>
          <w:tcPr>
            <w:tcW w:w="635"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社会效益指标</w:t>
            </w:r>
          </w:p>
        </w:tc>
        <w:tc>
          <w:tcPr>
            <w:tcW w:w="855"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口岸航空食品监测检查覆盖率</w:t>
            </w:r>
          </w:p>
        </w:tc>
        <w:tc>
          <w:tcPr>
            <w:tcW w:w="54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≥80%</w:t>
            </w:r>
          </w:p>
        </w:tc>
        <w:tc>
          <w:tcPr>
            <w:tcW w:w="35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36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15.0 </w:t>
            </w:r>
          </w:p>
        </w:tc>
        <w:tc>
          <w:tcPr>
            <w:tcW w:w="1301"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20"/>
        </w:trPr>
        <w:tc>
          <w:tcPr>
            <w:tcW w:w="216" w:type="pct"/>
            <w:vMerge/>
            <w:tcBorders>
              <w:top w:val="nil"/>
              <w:left w:val="single" w:sz="4" w:space="0" w:color="000000"/>
              <w:bottom w:val="single" w:sz="4" w:space="0" w:color="000000"/>
              <w:right w:val="single" w:sz="4" w:space="0" w:color="000000"/>
            </w:tcBorders>
            <w:vAlign w:val="center"/>
          </w:tcPr>
          <w:p/>
        </w:tc>
        <w:tc>
          <w:tcPr>
            <w:tcW w:w="356"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满意度指标</w:t>
            </w:r>
          </w:p>
        </w:tc>
        <w:tc>
          <w:tcPr>
            <w:tcW w:w="635"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服务对象满意度指标</w:t>
            </w:r>
          </w:p>
        </w:tc>
        <w:tc>
          <w:tcPr>
            <w:tcW w:w="855"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上级主管部门对法定检验结果满意度</w:t>
            </w:r>
          </w:p>
        </w:tc>
        <w:tc>
          <w:tcPr>
            <w:tcW w:w="54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≥95%</w:t>
            </w:r>
          </w:p>
        </w:tc>
        <w:tc>
          <w:tcPr>
            <w:tcW w:w="35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36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1301"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20"/>
        </w:trPr>
        <w:tc>
          <w:tcPr>
            <w:tcW w:w="216" w:type="pct"/>
            <w:vMerge/>
            <w:tcBorders>
              <w:top w:val="nil"/>
              <w:left w:val="single" w:sz="4" w:space="0" w:color="000000"/>
              <w:bottom w:val="single" w:sz="4" w:space="0" w:color="000000"/>
              <w:right w:val="single" w:sz="4" w:space="0" w:color="000000"/>
            </w:tcBorders>
            <w:vAlign w:val="center"/>
          </w:tcPr>
          <w:p/>
        </w:tc>
        <w:tc>
          <w:tcPr>
            <w:tcW w:w="356" w:type="pct"/>
            <w:vMerge/>
            <w:tcBorders>
              <w:top w:val="nil"/>
              <w:left w:val="single" w:sz="4" w:space="0" w:color="000000"/>
              <w:bottom w:val="single" w:sz="4" w:space="0" w:color="000000"/>
              <w:right w:val="single" w:sz="4" w:space="0" w:color="000000"/>
            </w:tcBorders>
            <w:vAlign w:val="center"/>
          </w:tcPr>
          <w:p/>
        </w:tc>
        <w:tc>
          <w:tcPr>
            <w:tcW w:w="635"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服务对象满意度指标</w:t>
            </w:r>
          </w:p>
        </w:tc>
        <w:tc>
          <w:tcPr>
            <w:tcW w:w="855"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口岸部门对检测结果满意度</w:t>
            </w:r>
          </w:p>
        </w:tc>
        <w:tc>
          <w:tcPr>
            <w:tcW w:w="54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≥95%</w:t>
            </w:r>
          </w:p>
        </w:tc>
        <w:tc>
          <w:tcPr>
            <w:tcW w:w="359" w:type="pct"/>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36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1301"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379"/>
        </w:trPr>
        <w:tc>
          <w:tcPr>
            <w:tcW w:w="2965" w:type="pct"/>
            <w:gridSpan w:val="20"/>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总分</w:t>
            </w:r>
          </w:p>
        </w:tc>
        <w:tc>
          <w:tcPr>
            <w:tcW w:w="365"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369"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1301"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02"/>
        </w:trPr>
        <w:tc>
          <w:tcPr>
            <w:tcW w:w="5000" w:type="pct"/>
            <w:gridSpan w:val="33"/>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项目支出绩效自评表</w:t>
            </w:r>
          </w:p>
        </w:tc>
      </w:tr>
      <w:tr>
        <w:trPr>
          <w:trHeight w:val="499"/>
        </w:trPr>
        <w:tc>
          <w:tcPr>
            <w:tcW w:w="5000" w:type="pct"/>
            <w:gridSpan w:val="33"/>
            <w:tcBorders>
              <w:top w:val="nil"/>
              <w:left w:val="nil"/>
              <w:bottom w:val="nil"/>
              <w:right w:val="nil"/>
            </w:tcBorders>
            <w:shd w:val="clear" w:color="auto" w:fill="auto"/>
            <w:noWrap/>
            <w:vAlign w:val="center"/>
          </w:tcPr>
          <w:p>
            <w:pPr>
              <w:widowControl/>
              <w:jc w:val="center"/>
              <w:rPr>
                <w:rFonts w:ascii="宋体" w:eastAsia="宋体" w:cs="Arial"/>
                <w:kern w:val="0"/>
                <w:sz w:val="24"/>
                <w:szCs w:val="24"/>
              </w:rPr>
            </w:pPr>
            <w:r>
              <w:rPr>
                <w:rFonts w:ascii="宋体" w:eastAsia="宋体" w:cs="Arial" w:hint="eastAsia"/>
                <w:kern w:val="0"/>
                <w:sz w:val="24"/>
                <w:szCs w:val="24"/>
              </w:rPr>
              <w:t>(2022年度)</w:t>
            </w:r>
          </w:p>
        </w:tc>
      </w:tr>
      <w:tr>
        <w:trPr>
          <w:trHeight w:val="255"/>
        </w:trPr>
        <w:tc>
          <w:tcPr>
            <w:tcW w:w="216"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86"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94" w:type="pct"/>
            <w:gridSpan w:val="3"/>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448" w:type="pct"/>
            <w:gridSpan w:val="4"/>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503"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504" w:type="pct"/>
            <w:gridSpan w:val="5"/>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806" w:type="pct"/>
            <w:gridSpan w:val="5"/>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67" w:type="pct"/>
            <w:gridSpan w:val="4"/>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65" w:type="pct"/>
            <w:gridSpan w:val="4"/>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308" w:type="pct"/>
            <w:gridSpan w:val="2"/>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c>
          <w:tcPr>
            <w:tcW w:w="701" w:type="pct"/>
            <w:tcBorders>
              <w:top w:val="nil"/>
              <w:left w:val="nil"/>
              <w:bottom w:val="nil"/>
              <w:right w:val="nil"/>
            </w:tcBorders>
            <w:shd w:val="clear" w:color="auto" w:fill="auto"/>
            <w:noWrap/>
            <w:vAlign w:val="bottom"/>
          </w:tcPr>
          <w:p>
            <w:pPr>
              <w:widowControl/>
              <w:jc w:val="left"/>
              <w:rPr>
                <w:rFonts w:ascii="Arial" w:eastAsia="宋体" w:cs="Arial" w:hAnsi="Arial"/>
                <w:kern w:val="0"/>
                <w:sz w:val="20"/>
                <w:szCs w:val="20"/>
              </w:rPr>
            </w:pPr>
          </w:p>
        </w:tc>
      </w:tr>
      <w:tr>
        <w:trPr>
          <w:trHeight w:val="379"/>
        </w:trPr>
        <w:tc>
          <w:tcPr>
            <w:tcW w:w="602"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项目名称</w:t>
            </w:r>
          </w:p>
        </w:tc>
        <w:tc>
          <w:tcPr>
            <w:tcW w:w="4398" w:type="pct"/>
            <w:gridSpan w:val="30"/>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海关仪器设备购置专项</w:t>
            </w:r>
          </w:p>
        </w:tc>
      </w:tr>
      <w:tr>
        <w:trPr>
          <w:trHeight w:val="379"/>
        </w:trPr>
        <w:tc>
          <w:tcPr>
            <w:tcW w:w="602"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主管部门</w:t>
            </w:r>
          </w:p>
        </w:tc>
        <w:tc>
          <w:tcPr>
            <w:tcW w:w="1460" w:type="pct"/>
            <w:gridSpan w:val="11"/>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海关总署</w:t>
            </w:r>
          </w:p>
        </w:tc>
        <w:tc>
          <w:tcPr>
            <w:tcW w:w="623"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实施单位</w:t>
            </w:r>
          </w:p>
        </w:tc>
        <w:tc>
          <w:tcPr>
            <w:tcW w:w="2316" w:type="pct"/>
            <w:gridSpan w:val="1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重庆海关技术中心</w:t>
            </w:r>
          </w:p>
        </w:tc>
      </w:tr>
      <w:tr>
        <w:trPr>
          <w:trHeight w:val="379"/>
        </w:trPr>
        <w:tc>
          <w:tcPr>
            <w:tcW w:w="602"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项目资金（万元）</w:t>
            </w:r>
          </w:p>
        </w:tc>
        <w:tc>
          <w:tcPr>
            <w:tcW w:w="843"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61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年初预算数</w:t>
            </w:r>
          </w:p>
        </w:tc>
        <w:tc>
          <w:tcPr>
            <w:tcW w:w="623"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全年预算数</w:t>
            </w:r>
          </w:p>
        </w:tc>
        <w:tc>
          <w:tcPr>
            <w:tcW w:w="694"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全年执行数</w:t>
            </w:r>
          </w:p>
        </w:tc>
        <w:tc>
          <w:tcPr>
            <w:tcW w:w="46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455"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执行率</w:t>
            </w:r>
          </w:p>
        </w:tc>
        <w:tc>
          <w:tcPr>
            <w:tcW w:w="70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r>
      <w:tr>
        <w:trPr>
          <w:trHeight w:val="379"/>
        </w:trPr>
        <w:tc>
          <w:tcPr>
            <w:tcW w:w="602" w:type="pct"/>
            <w:gridSpan w:val="3"/>
            <w:vMerge/>
            <w:tcBorders>
              <w:top w:val="single" w:sz="4" w:space="0" w:color="000000"/>
              <w:left w:val="single" w:sz="4" w:space="0" w:color="000000"/>
              <w:bottom w:val="single" w:sz="4" w:space="0" w:color="000000"/>
              <w:right w:val="single" w:sz="4" w:space="0" w:color="000000"/>
            </w:tcBorders>
            <w:vAlign w:val="center"/>
          </w:tcPr>
          <w:p/>
        </w:tc>
        <w:tc>
          <w:tcPr>
            <w:tcW w:w="843"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年度资金总额：</w:t>
            </w:r>
          </w:p>
        </w:tc>
        <w:tc>
          <w:tcPr>
            <w:tcW w:w="61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64.00</w:t>
            </w:r>
          </w:p>
        </w:tc>
        <w:tc>
          <w:tcPr>
            <w:tcW w:w="623"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64.00</w:t>
            </w:r>
          </w:p>
        </w:tc>
        <w:tc>
          <w:tcPr>
            <w:tcW w:w="694"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64.00</w:t>
            </w:r>
          </w:p>
        </w:tc>
        <w:tc>
          <w:tcPr>
            <w:tcW w:w="46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455"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70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r>
      <w:tr>
        <w:trPr>
          <w:trHeight w:val="379"/>
        </w:trPr>
        <w:tc>
          <w:tcPr>
            <w:tcW w:w="602" w:type="pct"/>
            <w:gridSpan w:val="3"/>
            <w:vMerge/>
            <w:tcBorders>
              <w:top w:val="single" w:sz="4" w:space="0" w:color="000000"/>
              <w:left w:val="single" w:sz="4" w:space="0" w:color="000000"/>
              <w:bottom w:val="single" w:sz="4" w:space="0" w:color="000000"/>
              <w:right w:val="single" w:sz="4" w:space="0" w:color="000000"/>
            </w:tcBorders>
            <w:vAlign w:val="center"/>
          </w:tcPr>
          <w:p/>
        </w:tc>
        <w:tc>
          <w:tcPr>
            <w:tcW w:w="843"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其中：财政拨款</w:t>
            </w:r>
          </w:p>
        </w:tc>
        <w:tc>
          <w:tcPr>
            <w:tcW w:w="61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64.00</w:t>
            </w:r>
          </w:p>
        </w:tc>
        <w:tc>
          <w:tcPr>
            <w:tcW w:w="623"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64.00</w:t>
            </w:r>
          </w:p>
        </w:tc>
        <w:tc>
          <w:tcPr>
            <w:tcW w:w="694"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64.00</w:t>
            </w:r>
          </w:p>
        </w:tc>
        <w:tc>
          <w:tcPr>
            <w:tcW w:w="46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455"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100.0%</w:t>
            </w:r>
          </w:p>
        </w:tc>
        <w:tc>
          <w:tcPr>
            <w:tcW w:w="70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602" w:type="pct"/>
            <w:gridSpan w:val="3"/>
            <w:vMerge/>
            <w:tcBorders>
              <w:top w:val="single" w:sz="4" w:space="0" w:color="000000"/>
              <w:left w:val="single" w:sz="4" w:space="0" w:color="000000"/>
              <w:bottom w:val="single" w:sz="4" w:space="0" w:color="000000"/>
              <w:right w:val="single" w:sz="4" w:space="0" w:color="000000"/>
            </w:tcBorders>
            <w:vAlign w:val="center"/>
          </w:tcPr>
          <w:p/>
        </w:tc>
        <w:tc>
          <w:tcPr>
            <w:tcW w:w="843"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上年结转资金</w:t>
            </w:r>
          </w:p>
        </w:tc>
        <w:tc>
          <w:tcPr>
            <w:tcW w:w="61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23"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94"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46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455"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70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602" w:type="pct"/>
            <w:gridSpan w:val="3"/>
            <w:vMerge/>
            <w:tcBorders>
              <w:top w:val="single" w:sz="4" w:space="0" w:color="000000"/>
              <w:left w:val="single" w:sz="4" w:space="0" w:color="000000"/>
              <w:bottom w:val="single" w:sz="4" w:space="0" w:color="000000"/>
              <w:right w:val="single" w:sz="4" w:space="0" w:color="000000"/>
            </w:tcBorders>
            <w:vAlign w:val="center"/>
          </w:tcPr>
          <w:p/>
        </w:tc>
        <w:tc>
          <w:tcPr>
            <w:tcW w:w="843"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 xml:space="preserve">    其他资金</w:t>
            </w:r>
          </w:p>
        </w:tc>
        <w:tc>
          <w:tcPr>
            <w:tcW w:w="61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23"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694" w:type="pct"/>
            <w:gridSpan w:val="5"/>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0.00</w:t>
            </w:r>
          </w:p>
        </w:tc>
        <w:tc>
          <w:tcPr>
            <w:tcW w:w="466"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c>
          <w:tcPr>
            <w:tcW w:w="455" w:type="pct"/>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0.0%</w:t>
            </w:r>
          </w:p>
        </w:tc>
        <w:tc>
          <w:tcPr>
            <w:tcW w:w="701" w:type="pct"/>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w:t>
            </w:r>
          </w:p>
        </w:tc>
      </w:tr>
      <w:tr>
        <w:trPr>
          <w:trHeight w:val="379"/>
        </w:trPr>
        <w:tc>
          <w:tcPr>
            <w:tcW w:w="216"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年度总体目标</w:t>
            </w:r>
          </w:p>
        </w:tc>
        <w:tc>
          <w:tcPr>
            <w:tcW w:w="2468" w:type="pct"/>
            <w:gridSpan w:val="18"/>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预期目标</w:t>
            </w:r>
          </w:p>
        </w:tc>
        <w:tc>
          <w:tcPr>
            <w:tcW w:w="2316" w:type="pct"/>
            <w:gridSpan w:val="1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实际完成情况</w:t>
            </w:r>
          </w:p>
        </w:tc>
      </w:tr>
      <w:tr>
        <w:trPr>
          <w:trHeight w:val="1902"/>
        </w:trPr>
        <w:tc>
          <w:tcPr>
            <w:tcW w:w="216" w:type="pct"/>
            <w:vMerge/>
            <w:tcBorders>
              <w:top w:val="nil"/>
              <w:left w:val="single" w:sz="4" w:space="0" w:color="000000"/>
              <w:bottom w:val="single" w:sz="4" w:space="0" w:color="000000"/>
              <w:right w:val="single" w:sz="4" w:space="0" w:color="000000"/>
            </w:tcBorders>
            <w:vAlign w:val="center"/>
          </w:tcPr>
          <w:p/>
        </w:tc>
        <w:tc>
          <w:tcPr>
            <w:tcW w:w="2468" w:type="pct"/>
            <w:gridSpan w:val="18"/>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20"/>
                <w:szCs w:val="20"/>
              </w:rPr>
            </w:pPr>
            <w:r>
              <w:rPr>
                <w:rFonts w:ascii="宋体" w:eastAsia="宋体" w:cs="Arial" w:hint="eastAsia"/>
                <w:kern w:val="0"/>
                <w:sz w:val="20"/>
                <w:szCs w:val="20"/>
              </w:rPr>
              <w:t>1.配备新增检测项目所需的仪器设备3台套；</w:t>
              <w:br/>
              <w:t>2.通过内部规范管理实现仪器设备采购计划执行率100%，仪器设备验收及时率100%。</w:t>
              <w:br/>
              <w:t>3.通过实验室仪器设备的投入，解决现有检测能力不适应检测业务需求的问题，切实提高实验室硬件水平，完成上级主管部门下达的法定检验业务。</w:t>
            </w:r>
          </w:p>
        </w:tc>
        <w:tc>
          <w:tcPr>
            <w:tcW w:w="2316" w:type="pct"/>
            <w:gridSpan w:val="14"/>
            <w:tcBorders>
              <w:top w:val="single" w:sz="4" w:space="0" w:color="000000"/>
              <w:left w:val="nil"/>
              <w:bottom w:val="single" w:sz="4" w:space="0" w:color="000000"/>
              <w:right w:val="single" w:sz="4" w:space="0" w:color="000000"/>
            </w:tcBorders>
            <w:shd w:val="clear" w:color="auto" w:fill="auto"/>
          </w:tcPr>
          <w:p>
            <w:pPr>
              <w:widowControl/>
              <w:jc w:val="left"/>
              <w:rPr>
                <w:rFonts w:ascii="宋体" w:eastAsia="宋体" w:cs="Arial"/>
                <w:kern w:val="0"/>
                <w:sz w:val="20"/>
                <w:szCs w:val="20"/>
              </w:rPr>
            </w:pPr>
            <w:r>
              <w:rPr>
                <w:rFonts w:ascii="宋体" w:eastAsia="宋体" w:cs="Arial" w:hint="eastAsia"/>
                <w:kern w:val="0"/>
                <w:sz w:val="20"/>
                <w:szCs w:val="20"/>
              </w:rPr>
              <w:t>1.配备新增检测项目所需的仪器设备3台套；</w:t>
              <w:br/>
              <w:t>2.通过内部规范管理实现仪器设备采购计划执行率100%，仪器设备验收及时率100%。</w:t>
              <w:br/>
              <w:t>3.通过实验室仪器设备的投入，切实提高了实验室硬件水平，进出口商品监测任务完成率100%,新增检测项目50项。</w:t>
            </w:r>
          </w:p>
        </w:tc>
      </w:tr>
      <w:tr>
        <w:trPr>
          <w:trHeight w:val="462"/>
        </w:trPr>
        <w:tc>
          <w:tcPr>
            <w:tcW w:w="216" w:type="pc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c>
          <w:tcPr>
            <w:tcW w:w="456"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一级指标</w:t>
            </w:r>
          </w:p>
        </w:tc>
        <w:tc>
          <w:tcPr>
            <w:tcW w:w="65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二级指标</w:t>
            </w:r>
          </w:p>
        </w:tc>
        <w:tc>
          <w:tcPr>
            <w:tcW w:w="821"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三级指标</w:t>
            </w:r>
          </w:p>
        </w:tc>
        <w:tc>
          <w:tcPr>
            <w:tcW w:w="541"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年度指标值</w:t>
            </w:r>
          </w:p>
        </w:tc>
        <w:tc>
          <w:tcPr>
            <w:tcW w:w="5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实际完成值</w:t>
            </w:r>
          </w:p>
        </w:tc>
        <w:tc>
          <w:tcPr>
            <w:tcW w:w="36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分值</w:t>
            </w:r>
          </w:p>
        </w:tc>
        <w:tc>
          <w:tcPr>
            <w:tcW w:w="36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得分</w:t>
            </w:r>
          </w:p>
        </w:tc>
        <w:tc>
          <w:tcPr>
            <w:tcW w:w="100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偏差原因分析及改进措施</w:t>
            </w:r>
          </w:p>
        </w:tc>
      </w:tr>
      <w:tr>
        <w:trPr>
          <w:trHeight w:val="480"/>
        </w:trPr>
        <w:tc>
          <w:tcPr>
            <w:tcW w:w="216"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绩效指标</w:t>
            </w:r>
          </w:p>
        </w:tc>
        <w:tc>
          <w:tcPr>
            <w:tcW w:w="456" w:type="pct"/>
            <w:gridSpan w:val="3"/>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产出指标</w:t>
            </w:r>
          </w:p>
        </w:tc>
        <w:tc>
          <w:tcPr>
            <w:tcW w:w="65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数量指标</w:t>
            </w:r>
          </w:p>
        </w:tc>
        <w:tc>
          <w:tcPr>
            <w:tcW w:w="821"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仪器设备采购数量</w:t>
            </w:r>
          </w:p>
        </w:tc>
        <w:tc>
          <w:tcPr>
            <w:tcW w:w="541"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＝3台</w:t>
            </w:r>
          </w:p>
        </w:tc>
        <w:tc>
          <w:tcPr>
            <w:tcW w:w="5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3台</w:t>
            </w:r>
          </w:p>
        </w:tc>
        <w:tc>
          <w:tcPr>
            <w:tcW w:w="36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10.0 </w:t>
            </w:r>
          </w:p>
        </w:tc>
        <w:tc>
          <w:tcPr>
            <w:tcW w:w="36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10.0 </w:t>
            </w:r>
          </w:p>
        </w:tc>
        <w:tc>
          <w:tcPr>
            <w:tcW w:w="100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255"/>
        </w:trPr>
        <w:tc>
          <w:tcPr>
            <w:tcW w:w="216" w:type="pct"/>
            <w:vMerge/>
            <w:tcBorders>
              <w:top w:val="nil"/>
              <w:left w:val="single" w:sz="4" w:space="0" w:color="000000"/>
              <w:bottom w:val="single" w:sz="4" w:space="0" w:color="000000"/>
              <w:right w:val="single" w:sz="4" w:space="0" w:color="000000"/>
            </w:tcBorders>
            <w:vAlign w:val="center"/>
          </w:tcPr>
          <w:p/>
        </w:tc>
        <w:tc>
          <w:tcPr>
            <w:tcW w:w="456" w:type="pct"/>
            <w:gridSpan w:val="3"/>
            <w:vMerge/>
            <w:tcBorders>
              <w:top w:val="nil"/>
              <w:left w:val="single" w:sz="4" w:space="0" w:color="000000"/>
              <w:bottom w:val="single" w:sz="4" w:space="0" w:color="000000"/>
              <w:right w:val="single" w:sz="4" w:space="0" w:color="000000"/>
            </w:tcBorders>
            <w:vAlign w:val="center"/>
          </w:tcPr>
          <w:p/>
        </w:tc>
        <w:tc>
          <w:tcPr>
            <w:tcW w:w="65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质量指标</w:t>
            </w:r>
          </w:p>
        </w:tc>
        <w:tc>
          <w:tcPr>
            <w:tcW w:w="821"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仪器设备政府采购率</w:t>
            </w:r>
          </w:p>
        </w:tc>
        <w:tc>
          <w:tcPr>
            <w:tcW w:w="541"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＝100%</w:t>
            </w:r>
          </w:p>
        </w:tc>
        <w:tc>
          <w:tcPr>
            <w:tcW w:w="5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100%</w:t>
            </w:r>
          </w:p>
        </w:tc>
        <w:tc>
          <w:tcPr>
            <w:tcW w:w="36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10.0 </w:t>
            </w:r>
          </w:p>
        </w:tc>
        <w:tc>
          <w:tcPr>
            <w:tcW w:w="36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10.0 </w:t>
            </w:r>
          </w:p>
        </w:tc>
        <w:tc>
          <w:tcPr>
            <w:tcW w:w="100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480"/>
        </w:trPr>
        <w:tc>
          <w:tcPr>
            <w:tcW w:w="216" w:type="pct"/>
            <w:vMerge/>
            <w:tcBorders>
              <w:top w:val="nil"/>
              <w:left w:val="single" w:sz="4" w:space="0" w:color="000000"/>
              <w:bottom w:val="single" w:sz="4" w:space="0" w:color="000000"/>
              <w:right w:val="single" w:sz="4" w:space="0" w:color="000000"/>
            </w:tcBorders>
            <w:vAlign w:val="center"/>
          </w:tcPr>
          <w:p/>
        </w:tc>
        <w:tc>
          <w:tcPr>
            <w:tcW w:w="456" w:type="pct"/>
            <w:gridSpan w:val="3"/>
            <w:vMerge/>
            <w:tcBorders>
              <w:top w:val="nil"/>
              <w:left w:val="single" w:sz="4" w:space="0" w:color="000000"/>
              <w:bottom w:val="single" w:sz="4" w:space="0" w:color="000000"/>
              <w:right w:val="single" w:sz="4" w:space="0" w:color="000000"/>
            </w:tcBorders>
            <w:vAlign w:val="center"/>
          </w:tcPr>
          <w:p/>
        </w:tc>
        <w:tc>
          <w:tcPr>
            <w:tcW w:w="65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质量指标</w:t>
            </w:r>
          </w:p>
        </w:tc>
        <w:tc>
          <w:tcPr>
            <w:tcW w:w="821"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仪器设备采购计划完成率</w:t>
            </w:r>
          </w:p>
        </w:tc>
        <w:tc>
          <w:tcPr>
            <w:tcW w:w="541"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＝100%</w:t>
            </w:r>
          </w:p>
        </w:tc>
        <w:tc>
          <w:tcPr>
            <w:tcW w:w="5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100%</w:t>
            </w:r>
          </w:p>
        </w:tc>
        <w:tc>
          <w:tcPr>
            <w:tcW w:w="36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10.0 </w:t>
            </w:r>
          </w:p>
        </w:tc>
        <w:tc>
          <w:tcPr>
            <w:tcW w:w="36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10.0 </w:t>
            </w:r>
          </w:p>
        </w:tc>
        <w:tc>
          <w:tcPr>
            <w:tcW w:w="100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255"/>
        </w:trPr>
        <w:tc>
          <w:tcPr>
            <w:tcW w:w="216" w:type="pct"/>
            <w:vMerge/>
            <w:tcBorders>
              <w:top w:val="nil"/>
              <w:left w:val="single" w:sz="4" w:space="0" w:color="000000"/>
              <w:bottom w:val="single" w:sz="4" w:space="0" w:color="000000"/>
              <w:right w:val="single" w:sz="4" w:space="0" w:color="000000"/>
            </w:tcBorders>
            <w:vAlign w:val="center"/>
          </w:tcPr>
          <w:p/>
        </w:tc>
        <w:tc>
          <w:tcPr>
            <w:tcW w:w="456" w:type="pct"/>
            <w:gridSpan w:val="3"/>
            <w:vMerge/>
            <w:tcBorders>
              <w:top w:val="nil"/>
              <w:left w:val="single" w:sz="4" w:space="0" w:color="000000"/>
              <w:bottom w:val="single" w:sz="4" w:space="0" w:color="000000"/>
              <w:right w:val="single" w:sz="4" w:space="0" w:color="000000"/>
            </w:tcBorders>
            <w:vAlign w:val="center"/>
          </w:tcPr>
          <w:p/>
        </w:tc>
        <w:tc>
          <w:tcPr>
            <w:tcW w:w="65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质量指标</w:t>
            </w:r>
          </w:p>
        </w:tc>
        <w:tc>
          <w:tcPr>
            <w:tcW w:w="821"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仪器设备验收合格率</w:t>
            </w:r>
          </w:p>
        </w:tc>
        <w:tc>
          <w:tcPr>
            <w:tcW w:w="541"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＝100%</w:t>
            </w:r>
          </w:p>
        </w:tc>
        <w:tc>
          <w:tcPr>
            <w:tcW w:w="5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100%</w:t>
            </w:r>
          </w:p>
        </w:tc>
        <w:tc>
          <w:tcPr>
            <w:tcW w:w="36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10.0 </w:t>
            </w:r>
          </w:p>
        </w:tc>
        <w:tc>
          <w:tcPr>
            <w:tcW w:w="36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10.0 </w:t>
            </w:r>
          </w:p>
        </w:tc>
        <w:tc>
          <w:tcPr>
            <w:tcW w:w="100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255"/>
        </w:trPr>
        <w:tc>
          <w:tcPr>
            <w:tcW w:w="216" w:type="pct"/>
            <w:vMerge/>
            <w:tcBorders>
              <w:top w:val="nil"/>
              <w:left w:val="single" w:sz="4" w:space="0" w:color="000000"/>
              <w:bottom w:val="single" w:sz="4" w:space="0" w:color="000000"/>
              <w:right w:val="single" w:sz="4" w:space="0" w:color="000000"/>
            </w:tcBorders>
            <w:vAlign w:val="center"/>
          </w:tcPr>
          <w:p/>
        </w:tc>
        <w:tc>
          <w:tcPr>
            <w:tcW w:w="456" w:type="pct"/>
            <w:gridSpan w:val="3"/>
            <w:vMerge/>
            <w:tcBorders>
              <w:top w:val="nil"/>
              <w:left w:val="single" w:sz="4" w:space="0" w:color="000000"/>
              <w:bottom w:val="single" w:sz="4" w:space="0" w:color="000000"/>
              <w:right w:val="single" w:sz="4" w:space="0" w:color="000000"/>
            </w:tcBorders>
            <w:vAlign w:val="center"/>
          </w:tcPr>
          <w:p/>
        </w:tc>
        <w:tc>
          <w:tcPr>
            <w:tcW w:w="65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时效指标</w:t>
            </w:r>
          </w:p>
        </w:tc>
        <w:tc>
          <w:tcPr>
            <w:tcW w:w="821"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仪器设备验收及时率</w:t>
            </w:r>
          </w:p>
        </w:tc>
        <w:tc>
          <w:tcPr>
            <w:tcW w:w="541"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≥98%</w:t>
            </w:r>
          </w:p>
        </w:tc>
        <w:tc>
          <w:tcPr>
            <w:tcW w:w="5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100%</w:t>
            </w:r>
          </w:p>
        </w:tc>
        <w:tc>
          <w:tcPr>
            <w:tcW w:w="36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10.0 </w:t>
            </w:r>
          </w:p>
        </w:tc>
        <w:tc>
          <w:tcPr>
            <w:tcW w:w="36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10.0 </w:t>
            </w:r>
          </w:p>
        </w:tc>
        <w:tc>
          <w:tcPr>
            <w:tcW w:w="100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480"/>
        </w:trPr>
        <w:tc>
          <w:tcPr>
            <w:tcW w:w="216" w:type="pct"/>
            <w:vMerge/>
            <w:tcBorders>
              <w:top w:val="nil"/>
              <w:left w:val="single" w:sz="4" w:space="0" w:color="000000"/>
              <w:bottom w:val="single" w:sz="4" w:space="0" w:color="000000"/>
              <w:right w:val="single" w:sz="4" w:space="0" w:color="000000"/>
            </w:tcBorders>
            <w:vAlign w:val="center"/>
          </w:tcPr>
          <w:p/>
        </w:tc>
        <w:tc>
          <w:tcPr>
            <w:tcW w:w="456" w:type="pct"/>
            <w:gridSpan w:val="3"/>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效益指标</w:t>
            </w:r>
          </w:p>
        </w:tc>
        <w:tc>
          <w:tcPr>
            <w:tcW w:w="65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社会效益指标</w:t>
            </w:r>
          </w:p>
        </w:tc>
        <w:tc>
          <w:tcPr>
            <w:tcW w:w="821"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新增检测项目</w:t>
            </w:r>
          </w:p>
        </w:tc>
        <w:tc>
          <w:tcPr>
            <w:tcW w:w="541"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≥30项</w:t>
            </w:r>
          </w:p>
        </w:tc>
        <w:tc>
          <w:tcPr>
            <w:tcW w:w="5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50项</w:t>
            </w:r>
          </w:p>
        </w:tc>
        <w:tc>
          <w:tcPr>
            <w:tcW w:w="36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15.0 </w:t>
            </w:r>
          </w:p>
        </w:tc>
        <w:tc>
          <w:tcPr>
            <w:tcW w:w="36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15.0 </w:t>
            </w:r>
          </w:p>
        </w:tc>
        <w:tc>
          <w:tcPr>
            <w:tcW w:w="100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480"/>
        </w:trPr>
        <w:tc>
          <w:tcPr>
            <w:tcW w:w="216" w:type="pct"/>
            <w:vMerge/>
            <w:tcBorders>
              <w:top w:val="nil"/>
              <w:left w:val="single" w:sz="4" w:space="0" w:color="000000"/>
              <w:bottom w:val="single" w:sz="4" w:space="0" w:color="000000"/>
              <w:right w:val="single" w:sz="4" w:space="0" w:color="000000"/>
            </w:tcBorders>
            <w:vAlign w:val="center"/>
          </w:tcPr>
          <w:p/>
        </w:tc>
        <w:tc>
          <w:tcPr>
            <w:tcW w:w="456" w:type="pct"/>
            <w:gridSpan w:val="3"/>
            <w:vMerge/>
            <w:tcBorders>
              <w:top w:val="nil"/>
              <w:left w:val="single" w:sz="4" w:space="0" w:color="000000"/>
              <w:bottom w:val="single" w:sz="4" w:space="0" w:color="000000"/>
              <w:right w:val="single" w:sz="4" w:space="0" w:color="000000"/>
            </w:tcBorders>
            <w:vAlign w:val="center"/>
          </w:tcPr>
          <w:p/>
        </w:tc>
        <w:tc>
          <w:tcPr>
            <w:tcW w:w="65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社会效益指标</w:t>
            </w:r>
          </w:p>
        </w:tc>
        <w:tc>
          <w:tcPr>
            <w:tcW w:w="821"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color w:val="000000"/>
                <w:kern w:val="0"/>
                <w:sz w:val="18"/>
                <w:szCs w:val="18"/>
              </w:rPr>
            </w:pPr>
            <w:r>
              <w:rPr>
                <w:rFonts w:ascii="宋体" w:eastAsia="宋体" w:cs="Arial" w:hint="eastAsia"/>
                <w:color w:val="000000"/>
                <w:kern w:val="0"/>
                <w:sz w:val="18"/>
                <w:szCs w:val="18"/>
              </w:rPr>
              <w:t>进出口商品监测任务完成率</w:t>
            </w:r>
          </w:p>
        </w:tc>
        <w:tc>
          <w:tcPr>
            <w:tcW w:w="541"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＝100%</w:t>
            </w:r>
          </w:p>
        </w:tc>
        <w:tc>
          <w:tcPr>
            <w:tcW w:w="5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100%</w:t>
            </w:r>
          </w:p>
        </w:tc>
        <w:tc>
          <w:tcPr>
            <w:tcW w:w="36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15.0 </w:t>
            </w:r>
          </w:p>
        </w:tc>
        <w:tc>
          <w:tcPr>
            <w:tcW w:w="36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xml:space="preserve">15.0 </w:t>
            </w:r>
          </w:p>
        </w:tc>
        <w:tc>
          <w:tcPr>
            <w:tcW w:w="100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color w:val="000000"/>
                <w:kern w:val="0"/>
                <w:sz w:val="18"/>
                <w:szCs w:val="18"/>
              </w:rPr>
            </w:pPr>
            <w:r>
              <w:rPr>
                <w:rFonts w:ascii="宋体" w:eastAsia="宋体" w:cs="Arial" w:hint="eastAsia"/>
                <w:color w:val="000000"/>
                <w:kern w:val="0"/>
                <w:sz w:val="18"/>
                <w:szCs w:val="18"/>
              </w:rPr>
              <w:t>　</w:t>
            </w:r>
          </w:p>
        </w:tc>
      </w:tr>
      <w:tr>
        <w:trPr>
          <w:trHeight w:val="720"/>
        </w:trPr>
        <w:tc>
          <w:tcPr>
            <w:tcW w:w="216" w:type="pct"/>
            <w:vMerge/>
            <w:tcBorders>
              <w:top w:val="nil"/>
              <w:left w:val="single" w:sz="4" w:space="0" w:color="000000"/>
              <w:bottom w:val="single" w:sz="4" w:space="0" w:color="000000"/>
              <w:right w:val="single" w:sz="4" w:space="0" w:color="000000"/>
            </w:tcBorders>
            <w:vAlign w:val="center"/>
          </w:tcPr>
          <w:p/>
        </w:tc>
        <w:tc>
          <w:tcPr>
            <w:tcW w:w="456" w:type="pct"/>
            <w:gridSpan w:val="3"/>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满意度指标</w:t>
            </w:r>
          </w:p>
        </w:tc>
        <w:tc>
          <w:tcPr>
            <w:tcW w:w="65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服务对象满意度指标</w:t>
            </w:r>
          </w:p>
        </w:tc>
        <w:tc>
          <w:tcPr>
            <w:tcW w:w="821"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仪器设备使用人员满意度</w:t>
            </w:r>
          </w:p>
        </w:tc>
        <w:tc>
          <w:tcPr>
            <w:tcW w:w="541"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≥95%</w:t>
            </w:r>
          </w:p>
        </w:tc>
        <w:tc>
          <w:tcPr>
            <w:tcW w:w="5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36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100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720"/>
        </w:trPr>
        <w:tc>
          <w:tcPr>
            <w:tcW w:w="216" w:type="pct"/>
            <w:vMerge/>
            <w:tcBorders>
              <w:top w:val="nil"/>
              <w:left w:val="single" w:sz="4" w:space="0" w:color="000000"/>
              <w:bottom w:val="single" w:sz="4" w:space="0" w:color="000000"/>
              <w:right w:val="single" w:sz="4" w:space="0" w:color="000000"/>
            </w:tcBorders>
            <w:vAlign w:val="center"/>
          </w:tcPr>
          <w:p/>
        </w:tc>
        <w:tc>
          <w:tcPr>
            <w:tcW w:w="456" w:type="pct"/>
            <w:gridSpan w:val="3"/>
            <w:vMerge/>
            <w:tcBorders>
              <w:top w:val="nil"/>
              <w:left w:val="single" w:sz="4" w:space="0" w:color="000000"/>
              <w:bottom w:val="single" w:sz="4" w:space="0" w:color="000000"/>
              <w:right w:val="single" w:sz="4" w:space="0" w:color="000000"/>
            </w:tcBorders>
            <w:vAlign w:val="center"/>
          </w:tcPr>
          <w:p/>
        </w:tc>
        <w:tc>
          <w:tcPr>
            <w:tcW w:w="650"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服务对象满意度指标</w:t>
            </w:r>
          </w:p>
        </w:tc>
        <w:tc>
          <w:tcPr>
            <w:tcW w:w="821" w:type="pct"/>
            <w:gridSpan w:val="7"/>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eastAsia="宋体" w:cs="Arial"/>
                <w:kern w:val="0"/>
                <w:sz w:val="18"/>
                <w:szCs w:val="18"/>
              </w:rPr>
            </w:pPr>
            <w:r>
              <w:rPr>
                <w:rFonts w:ascii="宋体" w:eastAsia="宋体" w:cs="Arial" w:hint="eastAsia"/>
                <w:kern w:val="0"/>
                <w:sz w:val="18"/>
                <w:szCs w:val="18"/>
              </w:rPr>
              <w:t>检测结果合格率</w:t>
            </w:r>
          </w:p>
        </w:tc>
        <w:tc>
          <w:tcPr>
            <w:tcW w:w="541"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≥95%</w:t>
            </w:r>
          </w:p>
        </w:tc>
        <w:tc>
          <w:tcPr>
            <w:tcW w:w="574"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100%</w:t>
            </w:r>
          </w:p>
        </w:tc>
        <w:tc>
          <w:tcPr>
            <w:tcW w:w="36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36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5.0 </w:t>
            </w:r>
          </w:p>
        </w:tc>
        <w:tc>
          <w:tcPr>
            <w:tcW w:w="100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r>
        <w:trPr>
          <w:trHeight w:val="379"/>
        </w:trPr>
        <w:tc>
          <w:tcPr>
            <w:tcW w:w="3258" w:type="pct"/>
            <w:gridSpan w:val="2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总分</w:t>
            </w:r>
          </w:p>
        </w:tc>
        <w:tc>
          <w:tcPr>
            <w:tcW w:w="367"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365" w:type="pct"/>
            <w:gridSpan w:val="4"/>
            <w:tcBorders>
              <w:top w:val="nil"/>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xml:space="preserve">100.0 </w:t>
            </w:r>
          </w:p>
        </w:tc>
        <w:tc>
          <w:tcPr>
            <w:tcW w:w="1009"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eastAsia="宋体" w:cs="Arial"/>
                <w:kern w:val="0"/>
                <w:sz w:val="18"/>
                <w:szCs w:val="18"/>
              </w:rPr>
            </w:pPr>
            <w:r>
              <w:rPr>
                <w:rFonts w:ascii="宋体" w:eastAsia="宋体" w:cs="Arial" w:hint="eastAsia"/>
                <w:kern w:val="0"/>
                <w:sz w:val="18"/>
                <w:szCs w:val="18"/>
              </w:rPr>
              <w:t>　</w:t>
            </w:r>
          </w:p>
        </w:tc>
      </w:tr>
    </w:tbl>
    <w:p>
      <w:pPr>
        <w:autoSpaceDN w:val="0"/>
        <w:spacing w:line="560" w:lineRule="exact"/>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200" w:firstLine="880"/>
        <w:jc w:val="center"/>
        <w:rPr>
          <w:b/>
          <w:sz w:val="44"/>
          <w:szCs w:val="44"/>
        </w:rPr>
      </w:pPr>
    </w:p>
    <w:p>
      <w:pPr>
        <w:autoSpaceDN w:val="0"/>
        <w:spacing w:line="560" w:lineRule="exact"/>
        <w:ind w:firstLineChars="543" w:firstLine="2389"/>
        <w:rPr>
          <w:b/>
          <w:sz w:val="44"/>
          <w:szCs w:val="44"/>
        </w:rPr>
      </w:pPr>
      <w:r>
        <w:rPr>
          <w:rFonts w:hint="eastAsia"/>
          <w:b/>
          <w:sz w:val="44"/>
          <w:szCs w:val="44"/>
        </w:rPr>
        <w:t>第四部分  名词解释</w:t>
      </w: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ind w:firstLineChars="200" w:firstLine="640"/>
        <w:jc w:val="center"/>
        <w:rPr>
          <w:rFonts w:eastAsia="方正黑体_GBK"/>
          <w:sz w:val="32"/>
          <w:szCs w:val="32"/>
        </w:rPr>
      </w:pPr>
    </w:p>
    <w:p>
      <w:pPr>
        <w:autoSpaceDN w:val="0"/>
        <w:spacing w:line="560" w:lineRule="exact"/>
        <w:rPr>
          <w:rFonts w:eastAsia="方正仿宋_GBK"/>
          <w:sz w:val="32"/>
          <w:szCs w:val="32"/>
        </w:rPr>
      </w:pP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（一）一般公共预算财政拨款收入：</w:t>
      </w:r>
      <w:r>
        <w:rPr>
          <w:rFonts w:eastAsia="方正仿宋_GBK" w:hint="eastAsia"/>
          <w:sz w:val="32"/>
          <w:szCs w:val="32"/>
        </w:rPr>
        <w:t>指中央财政当年拨付的资金。</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（二）事业收入：</w:t>
      </w:r>
      <w:r>
        <w:rPr>
          <w:rFonts w:eastAsia="方正仿宋_GBK" w:hint="eastAsia"/>
          <w:sz w:val="32"/>
          <w:szCs w:val="32"/>
        </w:rPr>
        <w:t>指事业单位开展专业业务活动及辅助活动所取得的收入。</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（三）经营收入：</w:t>
      </w:r>
      <w:r>
        <w:rPr>
          <w:rFonts w:eastAsia="方正仿宋_GBK" w:hint="eastAsia"/>
          <w:sz w:val="32"/>
          <w:szCs w:val="32"/>
        </w:rPr>
        <w:t>指事业单位在专业业务活动及其辅助活动之外开展非独立核算经营活动取得的收入。</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（四）其他收入：</w:t>
      </w:r>
      <w:r>
        <w:rPr>
          <w:rFonts w:eastAsia="方正仿宋_GBK" w:hint="eastAsia"/>
          <w:sz w:val="32"/>
          <w:szCs w:val="32"/>
        </w:rPr>
        <w:t>指除上述一般公共预算财政拨款收入、事业收入、事业单位经营收入等以外的收入。主要是非同级财政拨款收入、存款利息收入等。</w:t>
      </w:r>
    </w:p>
    <w:p>
      <w:pPr>
        <w:autoSpaceDN w:val="0"/>
        <w:spacing w:line="560" w:lineRule="exact"/>
        <w:ind w:firstLineChars="200" w:firstLine="640"/>
        <w:rPr>
          <w:rFonts w:eastAsia="方正仿宋_GBK"/>
          <w:b/>
          <w:bCs/>
          <w:sz w:val="32"/>
          <w:szCs w:val="32"/>
        </w:rPr>
      </w:pPr>
      <w:r>
        <w:rPr>
          <w:rFonts w:ascii="方正楷体_GBK" w:eastAsia="方正楷体_GBK" w:hint="eastAsia"/>
          <w:b/>
          <w:bCs/>
          <w:sz w:val="32"/>
          <w:szCs w:val="32"/>
        </w:rPr>
        <w:t>（五）使用非财政拨款结余：</w:t>
      </w:r>
      <w:r>
        <w:rPr>
          <w:rFonts w:eastAsia="方正仿宋_GBK" w:hint="eastAsia"/>
          <w:sz w:val="32"/>
          <w:szCs w:val="32"/>
        </w:rPr>
        <w:t>指事业单位使用以前年度积累的非财政拨款结余弥补当年收支差额的金额。</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（六）年初结转和结余：</w:t>
      </w:r>
      <w:r>
        <w:rPr>
          <w:rFonts w:eastAsia="方正仿宋_GBK" w:hint="eastAsia"/>
          <w:sz w:val="32"/>
          <w:szCs w:val="32"/>
        </w:rPr>
        <w:t>指单位以前年度尚未完成、结转到本年仍按原规定用途继续使用的资金，或项目已完成等产生的结余资金。</w:t>
      </w:r>
    </w:p>
    <w:p>
      <w:pPr>
        <w:autoSpaceDN w:val="0"/>
        <w:spacing w:line="560" w:lineRule="exact"/>
        <w:ind w:firstLineChars="200" w:firstLine="640"/>
      </w:pPr>
      <w:r>
        <w:rPr>
          <w:rFonts w:ascii="方正楷体_GBK" w:eastAsia="方正楷体_GBK" w:hint="eastAsia"/>
          <w:b/>
          <w:bCs/>
          <w:sz w:val="32"/>
          <w:szCs w:val="32"/>
        </w:rPr>
        <w:t>（七）一般公共服务（类）海关事务（款）：</w:t>
      </w:r>
      <w:r>
        <w:rPr>
          <w:rFonts w:eastAsia="方正仿宋_GBK" w:hint="eastAsia"/>
          <w:sz w:val="32"/>
          <w:szCs w:val="32"/>
        </w:rPr>
        <w:t>反映海关用于系统行政和事业单位的基本支出及完成专项业务工作的项目支出。</w:t>
      </w:r>
    </w:p>
    <w:p>
      <w:pPr>
        <w:autoSpaceDN w:val="0"/>
        <w:spacing w:line="560" w:lineRule="exact"/>
        <w:ind w:firstLineChars="200" w:firstLine="640"/>
        <w:rPr>
          <w:rFonts w:eastAsia="方正仿宋_GBK"/>
          <w:b/>
          <w:bCs/>
          <w:sz w:val="32"/>
          <w:szCs w:val="32"/>
        </w:rPr>
      </w:pPr>
      <w:r>
        <w:rPr>
          <w:rFonts w:eastAsia="方正仿宋_GBK" w:hint="eastAsia"/>
          <w:b/>
          <w:bCs/>
          <w:sz w:val="32"/>
          <w:szCs w:val="32"/>
        </w:rPr>
        <w:t>行政运行（项）</w:t>
      </w:r>
      <w:r>
        <w:rPr>
          <w:rFonts w:eastAsia="方正仿宋_GBK" w:hint="eastAsia"/>
          <w:sz w:val="32"/>
          <w:szCs w:val="32"/>
        </w:rPr>
        <w:t>反映海关系统（包括参照公务员管理的事业单位）的基本支出。</w:t>
      </w:r>
    </w:p>
    <w:p>
      <w:pPr>
        <w:autoSpaceDN w:val="0"/>
        <w:spacing w:line="560" w:lineRule="exact"/>
        <w:ind w:firstLineChars="200" w:firstLine="640"/>
        <w:rPr>
          <w:rFonts w:eastAsia="方正仿宋_GBK"/>
          <w:b/>
          <w:bCs/>
          <w:sz w:val="32"/>
          <w:szCs w:val="32"/>
        </w:rPr>
      </w:pPr>
      <w:r>
        <w:rPr>
          <w:rFonts w:eastAsia="方正仿宋_GBK" w:hint="eastAsia"/>
          <w:b/>
          <w:bCs/>
          <w:sz w:val="32"/>
          <w:szCs w:val="32"/>
        </w:rPr>
        <w:t>一般行政管理事务（项）</w:t>
      </w:r>
      <w:r>
        <w:rPr>
          <w:rFonts w:eastAsia="方正仿宋_GBK" w:hint="eastAsia"/>
          <w:sz w:val="32"/>
          <w:szCs w:val="32"/>
        </w:rPr>
        <w:t>反映海关系统（包括参照公务员管理的事业单位）未单独设置项级科目的其他项目支出。</w:t>
      </w:r>
    </w:p>
    <w:p>
      <w:pPr>
        <w:autoSpaceDN w:val="0"/>
        <w:spacing w:line="560" w:lineRule="exact"/>
        <w:ind w:firstLineChars="200" w:firstLine="640"/>
      </w:pPr>
      <w:r>
        <w:rPr>
          <w:rFonts w:eastAsia="方正仿宋_GBK" w:hint="eastAsia"/>
          <w:b/>
          <w:bCs/>
          <w:sz w:val="32"/>
          <w:szCs w:val="32"/>
        </w:rPr>
        <w:t>机关服务（项）</w:t>
      </w:r>
      <w:r>
        <w:rPr>
          <w:rFonts w:eastAsia="方正仿宋_GBK" w:hint="eastAsia"/>
          <w:sz w:val="32"/>
          <w:szCs w:val="32"/>
        </w:rPr>
        <w:t>反映海关系统为行政单位（包括参照公务员管理的事业单位）提供后勤服务的各类后勤服务中心等附属事业单位的支出。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缉私办案（项）</w:t>
      </w:r>
      <w:r>
        <w:rPr>
          <w:rFonts w:eastAsia="方正仿宋_GBK" w:hint="eastAsia"/>
          <w:sz w:val="32"/>
          <w:szCs w:val="32"/>
        </w:rPr>
        <w:t>反映海关系统用于缉私办案方面的支出。</w:t>
      </w:r>
    </w:p>
    <w:p>
      <w:pPr>
        <w:autoSpaceDN w:val="0"/>
        <w:spacing w:line="560" w:lineRule="exact"/>
        <w:ind w:firstLineChars="200" w:firstLine="640"/>
      </w:pPr>
      <w:r>
        <w:rPr>
          <w:rFonts w:eastAsia="方正仿宋_GBK" w:hint="eastAsia"/>
          <w:b/>
          <w:bCs/>
          <w:sz w:val="32"/>
          <w:szCs w:val="32"/>
        </w:rPr>
        <w:t>口岸管理（项）</w:t>
      </w:r>
      <w:r>
        <w:rPr>
          <w:rFonts w:eastAsia="方正仿宋_GBK" w:hint="eastAsia"/>
          <w:sz w:val="32"/>
          <w:szCs w:val="32"/>
        </w:rPr>
        <w:t>反映口岸工作经费及中国电子口岸建设运维支出。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信息化建设（项）</w:t>
      </w:r>
      <w:r>
        <w:rPr>
          <w:rFonts w:eastAsia="方正仿宋_GBK" w:hint="eastAsia"/>
          <w:sz w:val="32"/>
          <w:szCs w:val="32"/>
        </w:rPr>
        <w:t>反映海关系统用于海关科技信息化建设、海关信息系统运行维护等方面的支出。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海关关务（项）：</w:t>
      </w:r>
      <w:r>
        <w:rPr>
          <w:rFonts w:eastAsia="方正仿宋_GBK" w:hint="eastAsia"/>
          <w:sz w:val="32"/>
          <w:szCs w:val="32"/>
        </w:rPr>
        <w:t>反映海关现场综合业务费、基本建设和资产运行维护方面的支出。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关税征管（项）：</w:t>
      </w:r>
      <w:r>
        <w:rPr>
          <w:rFonts w:eastAsia="方正仿宋_GBK" w:hint="eastAsia"/>
          <w:sz w:val="32"/>
          <w:szCs w:val="32"/>
        </w:rPr>
        <w:t>反映海关系统用于海关关税征管业务的支出。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海关监管（项）：</w:t>
      </w:r>
      <w:r>
        <w:rPr>
          <w:rFonts w:eastAsia="方正仿宋_GBK" w:hint="eastAsia"/>
          <w:sz w:val="32"/>
          <w:szCs w:val="32"/>
        </w:rPr>
        <w:t>反映海关系统用于海关监管查验技术设备购建及运维的支出。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检验检疫（项）：</w:t>
      </w:r>
      <w:r>
        <w:rPr>
          <w:rFonts w:eastAsia="方正仿宋_GBK" w:hint="eastAsia"/>
          <w:sz w:val="32"/>
          <w:szCs w:val="32"/>
        </w:rPr>
        <w:t>反映海关系统用于检验检疫执法保障及能力提升、检验检疫安全监管、认证认可监督管理支出。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事业运行（项）</w:t>
      </w:r>
      <w:r>
        <w:rPr>
          <w:rFonts w:eastAsia="方正仿宋_GBK" w:hint="eastAsia"/>
          <w:sz w:val="32"/>
          <w:szCs w:val="32"/>
        </w:rPr>
        <w:t>反映海关事业单位的基本支出，不包括行政单位（包括参照公务员管理的事业单位）后勤服务中心等附属事业单位。</w:t>
      </w:r>
    </w:p>
    <w:p>
      <w:pPr>
        <w:autoSpaceDN w:val="0"/>
        <w:spacing w:line="560" w:lineRule="exact"/>
        <w:ind w:firstLineChars="200" w:firstLine="640"/>
        <w:rPr>
          <w:rFonts w:eastAsia="方正仿宋_GBK"/>
          <w:sz w:val="32"/>
          <w:szCs w:val="32"/>
        </w:rPr>
      </w:pPr>
      <w:r>
        <w:rPr>
          <w:rFonts w:eastAsia="方正仿宋_GBK" w:hint="eastAsia"/>
          <w:b/>
          <w:bCs/>
          <w:sz w:val="32"/>
          <w:szCs w:val="32"/>
        </w:rPr>
        <w:t>其他海关事务支出（项）</w:t>
      </w:r>
      <w:r>
        <w:rPr>
          <w:rFonts w:eastAsia="方正仿宋_GBK" w:hint="eastAsia"/>
          <w:sz w:val="32"/>
          <w:szCs w:val="32"/>
        </w:rPr>
        <w:t>反映除上述项目以外其他海关事务方面的支出。</w: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（八）一般公共服务（类）人力资源事务（款）政府特殊津贴（项）：</w:t>
      </w:r>
      <w:r>
        <w:rPr>
          <w:rFonts w:eastAsia="方正仿宋_GBK" w:hint="eastAsia"/>
          <w:sz w:val="32"/>
          <w:szCs w:val="32"/>
        </w:rPr>
        <w:t>反映海关与政府特殊津贴相关的支出。</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（九）一般公共服务（类）纪检监察事务（款）派驻派出机构（项）：</w:t>
      </w:r>
      <w:r>
        <w:rPr>
          <w:rFonts w:eastAsia="方正仿宋_GBK" w:hint="eastAsia"/>
          <w:sz w:val="32"/>
          <w:szCs w:val="32"/>
        </w:rPr>
        <w:t>反映中央纪委国家监委驻海关总署开展工作的专项业务支出。</w: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（十）外交支出（类）对外援助（款）对外援助（项）：</w:t>
      </w:r>
      <w:r>
        <w:rPr>
          <w:rFonts w:eastAsia="方正仿宋_GBK" w:hint="eastAsia"/>
          <w:sz w:val="32"/>
          <w:szCs w:val="32"/>
        </w:rPr>
        <w:t>反映海关对外国政府（地区）提供的各种援助和技术合作支出。</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（十一）外交支出（类）国际组织（款）国际组织会费（项）：</w:t>
      </w:r>
      <w:r>
        <w:rPr>
          <w:rFonts w:eastAsia="方正仿宋_GBK" w:hint="eastAsia"/>
          <w:sz w:val="32"/>
          <w:szCs w:val="32"/>
        </w:rPr>
        <w:t>反映海关经批准参加国际组织，按国际组织规定缴纳的会费。</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（十二）外交支出（类）国际组织（款）国际组织捐赠（项）：</w:t>
      </w:r>
      <w:r>
        <w:rPr>
          <w:rFonts w:eastAsia="方正仿宋_GBK" w:hint="eastAsia"/>
          <w:sz w:val="32"/>
          <w:szCs w:val="32"/>
        </w:rPr>
        <w:t>反映以我国政府或海关总署名义，向国际组织的认捐、救灾、馈赠等支出。</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（十三）外交支出（类）其他外交支出（款）其他外交支出（项）：</w:t>
      </w:r>
      <w:r>
        <w:rPr>
          <w:rFonts w:eastAsia="方正仿宋_GBK" w:hint="eastAsia"/>
          <w:sz w:val="32"/>
          <w:szCs w:val="32"/>
        </w:rPr>
        <w:t>反映除上述项目以外其他用于外交方面的支出。</w:t>
      </w:r>
    </w:p>
    <w:p>
      <w:pPr>
        <w:autoSpaceDN w:val="0"/>
        <w:spacing w:line="560" w:lineRule="exact"/>
        <w:ind w:firstLineChars="200" w:firstLine="640"/>
      </w:pPr>
      <w:r>
        <w:rPr>
          <w:rFonts w:ascii="方正楷体_GBK" w:eastAsia="方正楷体_GBK" w:hint="eastAsia"/>
          <w:b/>
          <w:bCs/>
          <w:sz w:val="32"/>
          <w:szCs w:val="32"/>
        </w:rPr>
        <w:t>（十四）公共安全支出（类）缉私警察（款）：</w:t>
      </w:r>
      <w:r>
        <w:rPr>
          <w:rFonts w:eastAsia="方正仿宋_GBK" w:hint="eastAsia"/>
          <w:sz w:val="32"/>
          <w:szCs w:val="32"/>
        </w:rPr>
        <w:t>反映海关缉私警察的基本支出及完成专项业务工作的项目支出。</w:t>
      </w:r>
    </w:p>
    <w:p>
      <w:pPr>
        <w:autoSpaceDN w:val="0"/>
        <w:spacing w:line="560" w:lineRule="exact"/>
        <w:ind w:firstLineChars="200" w:firstLine="640"/>
        <w:rPr>
          <w:rFonts w:eastAsia="方正仿宋_GBK"/>
          <w:b/>
          <w:bCs/>
          <w:sz w:val="32"/>
          <w:szCs w:val="32"/>
        </w:rPr>
      </w:pPr>
      <w:r>
        <w:rPr>
          <w:rFonts w:ascii="方正楷体_GBK" w:eastAsia="方正楷体_GBK" w:hint="eastAsia"/>
          <w:b/>
          <w:bCs/>
          <w:sz w:val="32"/>
          <w:szCs w:val="32"/>
        </w:rPr>
        <w:t>（十五）教育支出（类）普通教育（款）高等教育（项）：</w:t>
      </w:r>
      <w:r>
        <w:rPr>
          <w:rFonts w:eastAsia="方正仿宋_GBK" w:hint="eastAsia"/>
          <w:sz w:val="32"/>
          <w:szCs w:val="32"/>
        </w:rPr>
        <w:t>反映海关所属院校教学等方面的支出。</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（十六）社会保障和就业支出（类）行政事业单位养老支出（款）：</w:t>
      </w:r>
      <w:r>
        <w:rPr>
          <w:rFonts w:eastAsia="方正仿宋_GBK" w:hint="eastAsia"/>
          <w:sz w:val="32"/>
          <w:szCs w:val="32"/>
        </w:rPr>
        <w:t>反映用于海关行政事业单位离退休方面的支出。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行政单位离退休（项）：</w:t>
      </w:r>
      <w:r>
        <w:rPr>
          <w:rFonts w:eastAsia="方正仿宋_GBK" w:hint="eastAsia"/>
          <w:sz w:val="32"/>
          <w:szCs w:val="32"/>
        </w:rPr>
        <w:t>反映海关系统行政单位（包括参照公务员管理的事业单位）开支的离退休支出。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事业单位离退休（项）：</w:t>
      </w:r>
      <w:r>
        <w:rPr>
          <w:rFonts w:eastAsia="方正仿宋_GBK" w:hint="eastAsia"/>
          <w:sz w:val="32"/>
          <w:szCs w:val="32"/>
        </w:rPr>
        <w:t>反映海关系统事业单位开支的离退休经费。</w:t>
      </w:r>
    </w:p>
    <w:p>
      <w:pPr>
        <w:autoSpaceDN w:val="0"/>
        <w:spacing w:line="560" w:lineRule="exact"/>
        <w:ind w:firstLineChars="200" w:firstLine="640"/>
        <w:rPr>
          <w:rFonts w:eastAsia="方正仿宋_GBK"/>
          <w:sz w:val="32"/>
          <w:szCs w:val="32"/>
        </w:rPr>
      </w:pPr>
      <w:r>
        <w:rPr>
          <w:rFonts w:eastAsia="方正仿宋_GBK" w:hint="eastAsia"/>
          <w:b/>
          <w:bCs/>
          <w:sz w:val="32"/>
          <w:szCs w:val="32"/>
        </w:rPr>
        <w:t>离退休人员管理机构（项）：</w:t>
      </w:r>
      <w:r>
        <w:rPr>
          <w:rFonts w:eastAsia="方正仿宋_GBK" w:hint="eastAsia"/>
          <w:sz w:val="32"/>
          <w:szCs w:val="32"/>
        </w:rPr>
        <w:t>反映海关系统为离退休人员提供管理服务的离退休管理机构的支出。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机关事业单位基本养老保险缴费支出（项）：</w:t>
      </w:r>
      <w:r>
        <w:rPr>
          <w:rFonts w:eastAsia="方正仿宋_GBK" w:hint="eastAsia"/>
          <w:sz w:val="32"/>
          <w:szCs w:val="32"/>
        </w:rPr>
        <w:t>反映已参加当地社保的在职人员的基本养老保险支出。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机关事业单位职业年金缴费支出（项）：</w:t>
      </w:r>
      <w:r>
        <w:rPr>
          <w:rFonts w:eastAsia="方正仿宋_GBK" w:hint="eastAsia"/>
          <w:sz w:val="32"/>
          <w:szCs w:val="32"/>
        </w:rPr>
        <w:t>反映已参加当地社保的在职人员的职业年金支出。</w:t>
      </w:r>
    </w:p>
    <w:p>
      <w:pPr>
        <w:autoSpaceDN w:val="0"/>
        <w:spacing w:line="560" w:lineRule="exact"/>
        <w:ind w:firstLineChars="147" w:firstLine="470"/>
        <w:rPr>
          <w:rFonts w:eastAsia="方正仿宋_GBK"/>
          <w:sz w:val="32"/>
          <w:szCs w:val="32"/>
        </w:rPr>
      </w:pPr>
      <w:r>
        <w:rPr>
          <w:rFonts w:ascii="方正楷体_GBK" w:eastAsia="方正楷体_GBK" w:hint="eastAsia"/>
          <w:b/>
          <w:bCs/>
          <w:sz w:val="32"/>
          <w:szCs w:val="32"/>
        </w:rPr>
        <w:t>（十七）卫生健康支出（类）行政事业单位医疗（款）：</w:t>
      </w:r>
      <w:r>
        <w:rPr>
          <w:rFonts w:eastAsia="方正仿宋_GBK" w:hint="eastAsia"/>
          <w:sz w:val="32"/>
          <w:szCs w:val="32"/>
        </w:rPr>
        <w:t>反映已参加当地医保的海关单位用于向地方社保部门缴纳的基本医疗保险和公务员医疗补助支出。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行政单位医疗（项）：</w:t>
      </w:r>
      <w:r>
        <w:rPr>
          <w:rFonts w:eastAsia="方正仿宋_GBK" w:hint="eastAsia"/>
          <w:sz w:val="32"/>
          <w:szCs w:val="32"/>
        </w:rPr>
        <w:t>指中央财政集中安排的驻各地海关单位基本医疗保险缴费经费。</w:t>
      </w:r>
    </w:p>
    <w:p>
      <w:pPr>
        <w:autoSpaceDN w:val="0"/>
        <w:spacing w:line="560" w:lineRule="exact"/>
        <w:ind w:firstLineChars="200" w:firstLine="640"/>
      </w:pPr>
      <w:r>
        <w:rPr>
          <w:rFonts w:eastAsia="方正仿宋_GBK" w:hint="eastAsia"/>
          <w:b/>
          <w:bCs/>
          <w:sz w:val="32"/>
          <w:szCs w:val="32"/>
        </w:rPr>
        <w:t>公务员医疗补助（项）：</w:t>
      </w:r>
      <w:r>
        <w:rPr>
          <w:rFonts w:eastAsia="方正仿宋_GBK" w:hint="eastAsia"/>
          <w:sz w:val="32"/>
          <w:szCs w:val="32"/>
        </w:rPr>
        <w:t>指中央财政集中安排的驻各地海关单位公务员医疗补助经费。</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（十八）住房保障支出（类）住房改革支出（款）：</w:t>
      </w:r>
      <w:r>
        <w:rPr>
          <w:rFonts w:eastAsia="方正仿宋_GBK" w:hint="eastAsia"/>
          <w:sz w:val="32"/>
          <w:szCs w:val="32"/>
        </w:rPr>
        <w:t>反映海关系统按照国家政策规定为职工发放的住房公积金、提租补贴和购房补贴等支出。住房改革支出包括三项：</w:t>
      </w:r>
    </w:p>
    <w:p>
      <w:pPr>
        <w:autoSpaceDN w:val="0"/>
        <w:spacing w:line="560" w:lineRule="exact"/>
        <w:ind w:firstLineChars="200" w:firstLine="640"/>
        <w:rPr>
          <w:rFonts w:eastAsia="方正仿宋_GBK"/>
          <w:sz w:val="32"/>
          <w:szCs w:val="32"/>
        </w:rPr>
      </w:pPr>
      <w:r>
        <w:rPr>
          <w:rFonts w:eastAsia="方正仿宋_GBK" w:hint="eastAsia"/>
          <w:b/>
          <w:bCs/>
          <w:sz w:val="32"/>
          <w:szCs w:val="32"/>
        </w:rPr>
        <w:t>住房公积金（项）：</w:t>
      </w:r>
      <w:r>
        <w:rPr>
          <w:rFonts w:eastAsia="方正仿宋_GBK" w:hint="eastAsia"/>
          <w:sz w:val="32"/>
          <w:szCs w:val="32"/>
        </w:rPr>
        <w:t>住房公积金是按照《住房公积金管理条例》的规定，由单位及其在职职工缴存的长期住房储金。该项政策始于上世纪九十年代中期，在全国机关、企事业单位在职职工中普遍实施，缴存比例最低不低于</w:t>
      </w:r>
      <w:r>
        <w:rPr>
          <w:rFonts w:eastAsia="方正仿宋_GBK"/>
          <w:sz w:val="32"/>
          <w:szCs w:val="32"/>
        </w:rPr>
        <w:t>5</w:t>
      </w:r>
      <w:r>
        <w:rPr>
          <w:rFonts w:eastAsia="方正仿宋_GBK" w:hint="eastAsia"/>
          <w:sz w:val="32"/>
          <w:szCs w:val="32"/>
        </w:rPr>
        <w:t>％，最高不超过</w:t>
      </w:r>
      <w:r>
        <w:rPr>
          <w:rFonts w:eastAsia="方正仿宋_GBK"/>
          <w:sz w:val="32"/>
          <w:szCs w:val="32"/>
        </w:rPr>
        <w:t>12</w:t>
      </w:r>
      <w:r>
        <w:rPr>
          <w:rFonts w:eastAsia="方正仿宋_GBK" w:hint="eastAsia"/>
          <w:sz w:val="32"/>
          <w:szCs w:val="32"/>
        </w:rPr>
        <w:t>％，缴存基数为职工本人上年工资，目前已实施近</w:t>
      </w:r>
      <w:r>
        <w:rPr>
          <w:rFonts w:eastAsia="方正仿宋_GBK"/>
          <w:sz w:val="32"/>
          <w:szCs w:val="32"/>
        </w:rPr>
        <w:t>20</w:t>
      </w:r>
      <w:r>
        <w:rPr>
          <w:rFonts w:eastAsia="方正仿宋_GBK" w:hint="eastAsia"/>
          <w:sz w:val="32"/>
          <w:szCs w:val="32"/>
        </w:rPr>
        <w:t>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统一规定的岗位工资、薪级工资、绩效工资、艰苦边远地区津贴、特殊岗位津贴等。</w:t>
      </w:r>
    </w:p>
    <w:p>
      <w:pPr>
        <w:autoSpaceDN w:val="0"/>
        <w:spacing w:line="560" w:lineRule="exact"/>
        <w:ind w:firstLineChars="200" w:firstLine="640"/>
        <w:rPr>
          <w:rFonts w:eastAsia="方正仿宋_GBK"/>
          <w:sz w:val="32"/>
          <w:szCs w:val="32"/>
        </w:rPr>
      </w:pPr>
      <w:r>
        <w:rPr>
          <w:rFonts w:eastAsia="方正仿宋_GBK" w:hint="eastAsia"/>
          <w:b/>
          <w:bCs/>
          <w:sz w:val="32"/>
          <w:szCs w:val="32"/>
        </w:rPr>
        <w:t>提租补贴（项）：</w:t>
      </w:r>
      <w:r>
        <w:rPr>
          <w:rFonts w:eastAsia="方正仿宋_GBK" w:hint="eastAsia"/>
          <w:sz w:val="32"/>
          <w:szCs w:val="32"/>
        </w:rPr>
        <w:t>提租补贴是经国务院批准，于</w:t>
      </w:r>
      <w:r>
        <w:rPr>
          <w:rFonts w:eastAsia="方正仿宋_GBK"/>
          <w:sz w:val="32"/>
          <w:szCs w:val="32"/>
        </w:rPr>
        <w:t>2000</w:t>
      </w:r>
      <w:r>
        <w:rPr>
          <w:rFonts w:eastAsia="方正仿宋_GBK" w:hint="eastAsia"/>
          <w:sz w:val="32"/>
          <w:szCs w:val="32"/>
        </w:rPr>
        <w:t>年开始针对在京中央单位公有住房租金标准提高发放的补贴，中央在京单位按照在职在编职工人数和离退休人数以及相应职级的补贴标准确定，人均月补贴</w:t>
      </w:r>
      <w:r>
        <w:rPr>
          <w:rFonts w:eastAsia="方正仿宋_GBK"/>
          <w:sz w:val="32"/>
          <w:szCs w:val="32"/>
        </w:rPr>
        <w:t>90</w:t>
      </w:r>
      <w:r>
        <w:rPr>
          <w:rFonts w:eastAsia="方正仿宋_GBK" w:hint="eastAsia"/>
          <w:sz w:val="32"/>
          <w:szCs w:val="32"/>
        </w:rPr>
        <w:t>元。</w:t>
      </w:r>
    </w:p>
    <w:p>
      <w:pPr>
        <w:autoSpaceDN w:val="0"/>
        <w:spacing w:line="560" w:lineRule="exact"/>
        <w:ind w:firstLineChars="200" w:firstLine="640"/>
      </w:pPr>
      <w:r>
        <w:rPr>
          <w:rFonts w:eastAsia="方正仿宋_GBK" w:hint="eastAsia"/>
          <w:b/>
          <w:bCs/>
          <w:sz w:val="32"/>
          <w:szCs w:val="32"/>
        </w:rPr>
        <w:t>购房补贴（项）：</w:t>
      </w:r>
      <w:r>
        <w:rPr>
          <w:rFonts w:eastAsia="方正仿宋_GBK" w:hint="eastAsia"/>
          <w:sz w:val="32"/>
          <w:szCs w:val="32"/>
        </w:rPr>
        <w:t>购房补贴是根据《国务院关于进一步深化城镇住房制度改革加快住房建设的通知》（国发</w:t>
      </w:r>
      <w:r>
        <w:rPr>
          <w:rFonts w:eastAsia="方正仿宋_GBK" w:hint="eastAsia"/>
          <w:bCs/>
          <w:sz w:val="32"/>
          <w:szCs w:val="32"/>
        </w:rPr>
        <w:t>〔</w:t>
      </w:r>
      <w:r>
        <w:rPr>
          <w:rFonts w:eastAsia="方正仿宋_GBK"/>
          <w:sz w:val="32"/>
          <w:szCs w:val="32"/>
        </w:rPr>
        <w:t>1998</w:t>
      </w:r>
      <w:r>
        <w:rPr>
          <w:rFonts w:eastAsia="方正仿宋_GBK" w:hint="eastAsia"/>
          <w:bCs/>
          <w:sz w:val="32"/>
          <w:szCs w:val="32"/>
        </w:rPr>
        <w:t>〕</w:t>
      </w:r>
      <w:r>
        <w:rPr>
          <w:rFonts w:eastAsia="方正仿宋_GBK"/>
          <w:sz w:val="32"/>
          <w:szCs w:val="32"/>
        </w:rPr>
        <w:t>23</w:t>
      </w:r>
      <w:r>
        <w:rPr>
          <w:rFonts w:eastAsia="方正仿宋_GBK" w:hint="eastAsia"/>
          <w:sz w:val="32"/>
          <w:szCs w:val="32"/>
        </w:rPr>
        <w:t>号）的规定，从</w:t>
      </w:r>
      <w:r>
        <w:rPr>
          <w:rFonts w:eastAsia="方正仿宋_GBK"/>
          <w:sz w:val="32"/>
          <w:szCs w:val="32"/>
        </w:rPr>
        <w:t>1998</w:t>
      </w:r>
      <w:r>
        <w:rPr>
          <w:rFonts w:eastAsia="方正仿宋_GBK" w:hint="eastAsia"/>
          <w:sz w:val="32"/>
          <w:szCs w:val="32"/>
        </w:rPr>
        <w:t>年下半年停止实物分房后，房价收入比超过</w:t>
      </w:r>
      <w:r>
        <w:rPr>
          <w:rFonts w:eastAsia="方正仿宋_GBK"/>
          <w:sz w:val="32"/>
          <w:szCs w:val="32"/>
        </w:rPr>
        <w:t>4</w:t>
      </w:r>
      <w:r>
        <w:rPr>
          <w:rFonts w:eastAsia="方正仿宋_GBK" w:hint="eastAsia"/>
          <w:sz w:val="32"/>
          <w:szCs w:val="32"/>
        </w:rPr>
        <w:t>倍以上地区对无房和住房未达标职工发放的住房货币化改革补贴资金。中央行政事业单位从</w:t>
      </w:r>
      <w:r>
        <w:rPr>
          <w:rFonts w:eastAsia="方正仿宋_GBK"/>
          <w:sz w:val="32"/>
          <w:szCs w:val="32"/>
        </w:rPr>
        <w:t>2000</w:t>
      </w:r>
      <w:r>
        <w:rPr>
          <w:rFonts w:eastAsia="方正仿宋_GBK" w:hint="eastAsia"/>
          <w:sz w:val="32"/>
          <w:szCs w:val="32"/>
        </w:rPr>
        <w:t>年开始发放购房补贴资金，地方行政事业单位从</w:t>
      </w:r>
      <w:r>
        <w:rPr>
          <w:rFonts w:eastAsia="方正仿宋_GBK"/>
          <w:sz w:val="32"/>
          <w:szCs w:val="32"/>
        </w:rPr>
        <w:t>1999</w:t>
      </w:r>
      <w:r>
        <w:rPr>
          <w:rFonts w:eastAsia="方正仿宋_GBK" w:hint="eastAsia"/>
          <w:sz w:val="32"/>
          <w:szCs w:val="32"/>
        </w:rPr>
        <w:t>年陆续开始发放购房补贴资金，企业根据本单位情况自行确定。在京中央单位按照《中共中央办公厅国务院办公厅转发建设部等单位</w:t>
      </w:r>
      <w:r>
        <w:rPr>
          <w:rFonts w:eastAsia="方正仿宋_GBK"/>
          <w:sz w:val="32"/>
          <w:szCs w:val="32"/>
        </w:rPr>
        <w:t>&lt;</w:t>
      </w:r>
      <w:r>
        <w:rPr>
          <w:rFonts w:eastAsia="方正仿宋_GBK" w:hint="eastAsia"/>
          <w:sz w:val="32"/>
          <w:szCs w:val="32"/>
        </w:rPr>
        <w:t>关于完善在京中央和国家机关住房制度的若干意见</w:t>
      </w:r>
      <w:r>
        <w:rPr>
          <w:rFonts w:eastAsia="方正仿宋_GBK"/>
          <w:sz w:val="32"/>
          <w:szCs w:val="32"/>
        </w:rPr>
        <w:t>&gt;</w:t>
      </w:r>
      <w:r>
        <w:rPr>
          <w:rFonts w:eastAsia="方正仿宋_GBK" w:hint="eastAsia"/>
          <w:sz w:val="32"/>
          <w:szCs w:val="32"/>
        </w:rPr>
        <w:t>的通知》（厅字</w:t>
      </w:r>
      <w:r>
        <w:rPr>
          <w:rFonts w:eastAsia="方正仿宋_GBK" w:hint="eastAsia"/>
          <w:bCs/>
          <w:sz w:val="32"/>
          <w:szCs w:val="32"/>
        </w:rPr>
        <w:t>〔</w:t>
      </w:r>
      <w:r>
        <w:rPr>
          <w:rFonts w:eastAsia="方正仿宋_GBK"/>
          <w:bCs/>
          <w:sz w:val="32"/>
          <w:szCs w:val="32"/>
        </w:rPr>
        <w:t>2005</w:t>
      </w:r>
      <w:r>
        <w:rPr>
          <w:rFonts w:eastAsia="方正仿宋_GBK" w:hint="eastAsia"/>
          <w:bCs/>
          <w:sz w:val="32"/>
          <w:szCs w:val="32"/>
        </w:rPr>
        <w:t>〕</w:t>
      </w:r>
      <w:r>
        <w:rPr>
          <w:rFonts w:eastAsia="方正仿宋_GBK"/>
          <w:sz w:val="32"/>
          <w:szCs w:val="32"/>
        </w:rPr>
        <w:t>8</w:t>
      </w:r>
      <w:r>
        <w:rPr>
          <w:rFonts w:eastAsia="方正仿宋_GBK" w:hint="eastAsia"/>
          <w:sz w:val="32"/>
          <w:szCs w:val="32"/>
        </w:rPr>
        <w:t>号）规定的标准执行，京外中央单位按照所在地人民政府住房分配货币化改革的政策规定和标准执行。</w:t>
      </w:r>
    </w:p>
    <w:p>
      <w:pPr>
        <w:autoSpaceDE w:val="0"/>
        <w:autoSpaceDN w:val="0"/>
        <w:adjustRightInd w:val="0"/>
        <w:spacing w:line="560" w:lineRule="exact"/>
        <w:ind w:firstLineChars="224" w:firstLine="717"/>
        <w:rPr>
          <w:rFonts w:eastAsia="方正仿宋_GBK"/>
          <w:kern w:val="0"/>
          <w:sz w:val="32"/>
          <w:szCs w:val="32"/>
        </w:rPr>
      </w:pPr>
      <w:r>
        <w:rPr>
          <w:rFonts w:ascii="方正楷体_GBK" w:eastAsia="方正楷体_GBK" w:hint="eastAsia"/>
          <w:b/>
          <w:bCs/>
          <w:sz w:val="32"/>
          <w:szCs w:val="32"/>
        </w:rPr>
        <w:t>（十九）结余分配：</w:t>
      </w:r>
      <w:r>
        <w:rPr>
          <w:rFonts w:eastAsia="方正仿宋_GBK" w:hint="eastAsia"/>
          <w:sz w:val="32"/>
          <w:szCs w:val="32"/>
        </w:rPr>
        <w:t>指事业单位按照政府会计制度的规定缴纳的所得税、提取的专用结余以及转入非财政拨款结余的金额等。</w:t>
      </w:r>
    </w:p>
    <w:p>
      <w:pPr>
        <w:pStyle w:val="56"/>
        <w:numPr>
          <w:ilvl w:val="0"/>
          <w:numId w:val="0"/>
        </w:numPr>
        <w:tabs>
          <w:tab w:val="clear" w:pos="780"/>
        </w:tabs>
        <w:spacing w:line="560" w:lineRule="exact"/>
        <w:ind w:left="720"/>
        <w:jc w:val="both"/>
        <w:rPr>
          <w:rFonts w:eastAsia="方正仿宋_GBK"/>
          <w:color w:val="auto"/>
          <w:kern w:val="2"/>
          <w:sz w:val="32"/>
          <w:szCs w:val="32"/>
        </w:rPr>
      </w:pPr>
      <w:r>
        <w:rPr>
          <w:rFonts w:ascii="方正楷体_GBK" w:eastAsia="方正楷体_GBK" w:hint="eastAsia"/>
          <w:b/>
          <w:bCs/>
          <w:color w:val="auto"/>
          <w:sz w:val="32"/>
          <w:szCs w:val="32"/>
        </w:rPr>
        <w:t>（二十）年末结转和结余：</w:t>
      </w:r>
      <w:r>
        <w:rPr>
          <w:rFonts w:eastAsia="方正仿宋_GBK" w:hint="eastAsia"/>
          <w:color w:val="auto"/>
          <w:kern w:val="2"/>
          <w:sz w:val="32"/>
          <w:szCs w:val="32"/>
        </w:rPr>
        <w:t>指单位按有关规定结转到下年或以后年度继续使用的资金，或项目已完成等产生的结余资金。</w:t>
      </w:r>
    </w:p>
    <w:p>
      <w:pPr>
        <w:pStyle w:val="56"/>
        <w:numPr>
          <w:ilvl w:val="0"/>
          <w:numId w:val="0"/>
        </w:numPr>
        <w:tabs>
          <w:tab w:val="clear" w:pos="780"/>
        </w:tabs>
        <w:spacing w:line="560" w:lineRule="exact"/>
        <w:ind w:left="720"/>
        <w:jc w:val="both"/>
        <w:rPr>
          <w:rFonts w:eastAsia="方正仿宋_GBK"/>
          <w:color w:val="auto"/>
          <w:sz w:val="32"/>
          <w:szCs w:val="32"/>
        </w:rPr>
      </w:pPr>
      <w:r>
        <w:rPr>
          <w:rFonts w:ascii="方正楷体_GBK" w:eastAsia="方正楷体_GBK" w:hint="eastAsia"/>
          <w:b/>
          <w:bCs/>
          <w:color w:val="auto"/>
          <w:sz w:val="32"/>
          <w:szCs w:val="32"/>
        </w:rPr>
        <w:t>（二十一）基本支出：</w:t>
      </w:r>
      <w:r>
        <w:rPr>
          <w:rFonts w:eastAsia="方正仿宋_GBK" w:hint="eastAsia"/>
          <w:color w:val="auto"/>
          <w:sz w:val="32"/>
          <w:szCs w:val="32"/>
        </w:rPr>
        <w:t>指为保障机构正常运转、完成日常工作任务而发生的人员支出和公用支出。</w:t>
      </w:r>
    </w:p>
    <w:p>
      <w:pPr>
        <w:autoSpaceDE w:val="0"/>
        <w:autoSpaceDN w:val="0"/>
        <w:adjustRightInd w:val="0"/>
        <w:spacing w:line="560" w:lineRule="exact"/>
        <w:ind w:firstLineChars="224" w:firstLine="717"/>
        <w:rPr>
          <w:rFonts w:eastAsia="方正仿宋_GBK"/>
          <w:kern w:val="0"/>
          <w:sz w:val="32"/>
          <w:szCs w:val="32"/>
        </w:rPr>
      </w:pPr>
      <w:r>
        <w:rPr>
          <w:rFonts w:ascii="方正楷体_GBK" w:eastAsia="方正楷体_GBK" w:hint="eastAsia"/>
          <w:b/>
          <w:bCs/>
          <w:kern w:val="0"/>
          <w:sz w:val="32"/>
          <w:szCs w:val="32"/>
        </w:rPr>
        <w:t>（二十二）项目支出：</w:t>
      </w:r>
      <w:r>
        <w:rPr>
          <w:rFonts w:eastAsia="方正仿宋_GBK" w:hint="eastAsia"/>
          <w:kern w:val="0"/>
          <w:sz w:val="32"/>
          <w:szCs w:val="32"/>
        </w:rPr>
        <w:t>指在基本支出之外为完成特定行政任务或事业发展目标所发生的支出。</w:t>
      </w:r>
    </w:p>
    <w:p>
      <w:pPr>
        <w:autoSpaceDE w:val="0"/>
        <w:autoSpaceDN w:val="0"/>
        <w:adjustRightInd w:val="0"/>
        <w:spacing w:line="560" w:lineRule="exact"/>
        <w:ind w:firstLineChars="224" w:firstLine="717"/>
        <w:rPr>
          <w:rFonts w:eastAsia="方正仿宋_GBK"/>
          <w:kern w:val="0"/>
          <w:sz w:val="32"/>
          <w:szCs w:val="32"/>
        </w:rPr>
      </w:pPr>
      <w:r>
        <w:rPr>
          <w:rFonts w:ascii="方正楷体_GBK" w:eastAsia="方正楷体_GBK" w:hint="eastAsia"/>
          <w:b/>
          <w:bCs/>
          <w:kern w:val="0"/>
          <w:sz w:val="32"/>
          <w:szCs w:val="32"/>
        </w:rPr>
        <w:t>（二十三）经营支出：</w:t>
      </w:r>
      <w:r>
        <w:rPr>
          <w:rFonts w:eastAsia="方正仿宋_GBK" w:hint="eastAsia"/>
          <w:kern w:val="0"/>
          <w:sz w:val="32"/>
          <w:szCs w:val="32"/>
        </w:rPr>
        <w:t>指事业单位在专业业务活动及其辅助活动之外开展非独立核算经营活动发生的支出。</w:t>
      </w:r>
    </w:p>
    <w:p>
      <w:pPr>
        <w:autoSpaceDN w:val="0"/>
        <w:spacing w:line="560" w:lineRule="exact"/>
        <w:ind w:firstLineChars="200" w:firstLine="640"/>
        <w:rPr>
          <w:rFonts w:eastAsia="方正仿宋_GBK"/>
          <w:sz w:val="32"/>
          <w:szCs w:val="32"/>
        </w:rPr>
      </w:pPr>
      <w:r>
        <w:rPr>
          <w:rFonts w:ascii="方正楷体_GBK" w:eastAsia="方正楷体_GBK" w:hint="eastAsia"/>
          <w:b/>
          <w:bCs/>
          <w:kern w:val="0"/>
          <w:sz w:val="32"/>
          <w:szCs w:val="32"/>
        </w:rPr>
        <w:t>（二十四）“三公经费”：</w:t>
      </w:r>
      <w:r>
        <w:rPr>
          <w:rFonts w:eastAsia="方正仿宋_GBK" w:hint="eastAsia"/>
          <w:sz w:val="32"/>
          <w:szCs w:val="32"/>
        </w:rPr>
        <w:t>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按规定保留的公务用车车辆燃料费、维修费、过桥过路费、保险费、安全奖励费用等支出；公务接待费反映单位按规定开支的各类公务接待（含外宾接待）支出。</w:t>
      </w:r>
    </w:p>
    <w:p>
      <w:pPr>
        <w:autoSpaceDN w:val="0"/>
        <w:spacing w:line="560" w:lineRule="exact"/>
        <w:ind w:firstLineChars="200" w:firstLine="640"/>
        <w:rPr>
          <w:rFonts w:eastAsia="方正仿宋_GBK"/>
          <w:sz w:val="32"/>
          <w:szCs w:val="32"/>
        </w:rPr>
      </w:pPr>
      <w:r>
        <w:rPr>
          <w:rFonts w:ascii="方正楷体_GBK" w:eastAsia="方正楷体_GBK" w:hint="eastAsia"/>
          <w:b/>
          <w:bCs/>
          <w:kern w:val="0"/>
          <w:sz w:val="32"/>
          <w:szCs w:val="32"/>
        </w:rPr>
        <w:t>（二十五）</w:t>
      </w:r>
      <w:r>
        <w:rPr>
          <w:rFonts w:ascii="方正楷体_GBK" w:eastAsia="方正楷体_GBK" w:hint="eastAsia"/>
          <w:b/>
          <w:bCs/>
          <w:sz w:val="32"/>
          <w:szCs w:val="32"/>
        </w:rPr>
        <w:t>机关运行经费：</w:t>
      </w:r>
      <w:r>
        <w:rPr>
          <w:rFonts w:eastAsia="方正仿宋_GBK" w:hint="eastAsia"/>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仿宋">
    <w:panose1 w:val="02010609060101010101"/>
    <w:charset w:val="86"/>
    <w:family w:val="modern"/>
    <w:pitch w:val="variable"/>
    <w:sig w:usb0="800002BF" w:usb1="38CF7CFA" w:usb2="00000016" w:usb3="00000000" w:csb0="00040001"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variable"/>
    <w:sig w:usb0="800002BF" w:usb1="38CF7CFA" w:usb2="00000016" w:usb3="00000000" w:csb0="00040001" w:csb1="00000000"/>
  </w:font>
  <w:font w:name="仿宋_GB2312">
    <w:altName w:val="仿宋"/>
    <w:panose1 w:val="00000000000000000000"/>
    <w:charset w:val="86"/>
    <w:family w:val="modern"/>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0FFFFF89"/>
    <w:multiLevelType w:val="singleLevel"/>
    <w:tmpl w:val="00000000"/>
    <w:lvl w:ilvl="0">
      <w:start w:val="1"/>
      <w:numFmt w:val="bullet"/>
      <w:lvlRestart w:val="0"/>
      <w:pStyle w:val="48"/>
      <w:lvlText w:val=""/>
      <w:lvlJc w:val="left"/>
      <w:pPr>
        <w:tabs>
          <w:tab w:val="num" w:pos="360"/>
        </w:tabs>
        <w:ind w:left="360" w:hanging="360"/>
      </w:pPr>
      <w:rPr>
        <w:rFonts w:ascii="Wingdings" w:hAnsi="Wingdings" w:hint="default"/>
      </w:rPr>
    </w:lvl>
  </w:abstractNum>
  <w:abstractNum w:abstractNumId="1">
    <w:nsid w:val="0FFFFF88"/>
    <w:multiLevelType w:val="singleLevel"/>
    <w:tmpl w:val="00000000"/>
    <w:lvl w:ilvl="0">
      <w:start w:val="1"/>
      <w:numFmt w:val="decimal"/>
      <w:lvlRestart w:val="0"/>
      <w:pStyle w:val="49"/>
      <w:lvlText w:val="%1."/>
      <w:lvlJc w:val="left"/>
      <w:pPr>
        <w:tabs>
          <w:tab w:val="num" w:pos="360"/>
        </w:tabs>
        <w:ind w:left="360" w:hanging="360"/>
      </w:pPr>
    </w:lvl>
  </w:abstractNum>
  <w:abstractNum w:abstractNumId="2">
    <w:nsid w:val="0FFFFF83"/>
    <w:multiLevelType w:val="singleLevel"/>
    <w:tmpl w:val="00000000"/>
    <w:lvl w:ilvl="0">
      <w:start w:val="1"/>
      <w:numFmt w:val="bullet"/>
      <w:lvlRestart w:val="0"/>
      <w:pStyle w:val="54"/>
      <w:lvlText w:val=""/>
      <w:lvlJc w:val="left"/>
      <w:pPr>
        <w:tabs>
          <w:tab w:val="num" w:pos="780"/>
        </w:tabs>
        <w:ind w:left="780" w:hanging="360"/>
      </w:pPr>
      <w:rPr>
        <w:rFonts w:ascii="Wingdings" w:hAnsi="Wingdings" w:hint="default"/>
      </w:rPr>
    </w:lvl>
  </w:abstractNum>
  <w:abstractNum w:abstractNumId="3">
    <w:nsid w:val="0FFFFF81"/>
    <w:multiLevelType w:val="singleLevel"/>
    <w:tmpl w:val="00000000"/>
    <w:lvl w:ilvl="0">
      <w:start w:val="1"/>
      <w:numFmt w:val="bullet"/>
      <w:lvlRestart w:val="0"/>
      <w:pStyle w:val="56"/>
      <w:lvlText w:val=""/>
      <w:lvlJc w:val="left"/>
      <w:pPr>
        <w:tabs>
          <w:tab w:val="num" w:pos="1620"/>
        </w:tabs>
        <w:ind w:left="1620" w:hanging="360"/>
      </w:pPr>
      <w:rPr>
        <w:rFonts w:ascii="Wingdings" w:hAnsi="Wingdings" w:hint="default"/>
      </w:rPr>
    </w:lvl>
  </w:abstractNum>
  <w:abstractNum w:abstractNumId="4">
    <w:nsid w:val="0FFFFF80"/>
    <w:multiLevelType w:val="singleLevel"/>
    <w:tmpl w:val="00000000"/>
    <w:lvl w:ilvl="0">
      <w:start w:val="1"/>
      <w:numFmt w:val="bullet"/>
      <w:lvlRestart w:val="0"/>
      <w:pStyle w:val="57"/>
      <w:lvlText w:val=""/>
      <w:lvlJc w:val="left"/>
      <w:pPr>
        <w:tabs>
          <w:tab w:val="num" w:pos="2040"/>
        </w:tabs>
        <w:ind w:left="204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Normal (Web)"/>
    <w:basedOn w:val="0"/>
    <w:pPr>
      <w:widowControl/>
      <w:spacing w:before="100" w:beforeAutospacing="1" w:after="100" w:afterAutospacing="1"/>
      <w:jc w:val="left"/>
    </w:pPr>
    <w:rPr>
      <w:rFonts w:ascii="宋体" w:eastAsia="宋体" w:cs="宋体"/>
      <w:kern w:val="0"/>
      <w:sz w:val="24"/>
      <w:szCs w:val="24"/>
    </w:rPr>
  </w:style>
  <w:style w:type="character" w:styleId="18">
    <w:name w:val="Strong"/>
    <w:basedOn w:val="10"/>
    <w:rPr>
      <w:b/>
      <w:bCs/>
    </w:rPr>
  </w:style>
  <w:style w:type="paragraph" w:styleId="19">
    <w:name w:val="Balloon Text"/>
    <w:basedOn w:val="0"/>
    <w:rPr>
      <w:sz w:val="18"/>
      <w:szCs w:val="18"/>
    </w:rPr>
  </w:style>
  <w:style w:type="paragraph" w:customStyle="1" w:styleId="20">
    <w:name w:val="样式 2 10 磅"/>
    <w:next w:val="0"/>
    <w:pPr>
      <w:widowControl w:val="0"/>
      <w:jc w:val="both"/>
    </w:pPr>
    <w:rPr>
      <w:rFonts w:ascii="Times New Roman" w:eastAsia="宋体" w:cs="Times New Roman" w:hAnsi="Times New Roman"/>
      <w:kern w:val="2"/>
      <w:sz w:val="21"/>
      <w:szCs w:val="24"/>
      <w:lang w:val="en-US" w:eastAsia="zh-CN" w:bidi="ar-SA"/>
    </w:rPr>
  </w:style>
  <w:style w:type="paragraph" w:customStyle="1" w:styleId="21">
    <w:name w:val="Default"/>
    <w:pPr>
      <w:widowControl w:val="0"/>
      <w:autoSpaceDE w:val="0"/>
      <w:autoSpaceDN w:val="0"/>
      <w:adjustRightInd w:val="0"/>
    </w:pPr>
    <w:rPr>
      <w:rFonts w:ascii="Times New Roman" w:eastAsia="宋体" w:cs="Times New Roman" w:hAnsi="Times New Roman"/>
      <w:color w:val="000000"/>
      <w:kern w:val="0"/>
      <w:sz w:val="24"/>
      <w:szCs w:val="24"/>
      <w:lang w:val="en-US" w:eastAsia="zh-CN" w:bidi="ar-SA"/>
    </w:rPr>
  </w:style>
  <w:style w:type="character" w:customStyle="1" w:styleId="22">
    <w:name w:val="im-content1"/>
    <w:basedOn w:val="10"/>
    <w:rPr>
      <w:color w:val="000000"/>
    </w:rPr>
  </w:style>
  <w:style w:type="paragraph" w:customStyle="1" w:styleId="23">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24">
    <w:name w:val="样式 1 10 磅"/>
    <w:pPr>
      <w:widowControl w:val="0"/>
      <w:jc w:val="both"/>
    </w:pPr>
    <w:rPr>
      <w:rFonts w:ascii="Times New Roman" w:eastAsia="宋体" w:cs="Times New Roman" w:hAnsi="Times New Roman"/>
      <w:kern w:val="2"/>
      <w:sz w:val="21"/>
      <w:szCs w:val="24"/>
      <w:lang w:val="en-US" w:eastAsia="zh-CN" w:bidi="ar-SA"/>
    </w:rPr>
  </w:style>
  <w:style w:type="paragraph" w:styleId="25">
    <w:name w:val="toc 3"/>
    <w:basedOn w:val="0"/>
    <w:autoRedefine/>
    <w:next w:val="0"/>
    <w:pPr>
      <w:ind w:left="840"/>
    </w:pPr>
    <w:rPr>
      <w:rFonts w:ascii="Times New Roman" w:eastAsia="宋体" w:cs="Times New Roman" w:hAnsi="Times New Roman"/>
      <w:szCs w:val="24"/>
    </w:rPr>
  </w:style>
  <w:style w:type="paragraph" w:styleId="26">
    <w:name w:val="toc 4"/>
    <w:basedOn w:val="0"/>
    <w:autoRedefine/>
    <w:next w:val="0"/>
    <w:pPr>
      <w:ind w:left="1260"/>
    </w:pPr>
    <w:rPr>
      <w:rFonts w:ascii="Times New Roman" w:eastAsia="宋体" w:cs="Times New Roman" w:hAnsi="Times New Roman"/>
      <w:szCs w:val="24"/>
    </w:rPr>
  </w:style>
  <w:style w:type="paragraph" w:styleId="27">
    <w:name w:val="toc 5"/>
    <w:basedOn w:val="0"/>
    <w:autoRedefine/>
    <w:next w:val="0"/>
    <w:pPr>
      <w:ind w:left="1680"/>
    </w:pPr>
    <w:rPr>
      <w:rFonts w:ascii="Times New Roman" w:eastAsia="宋体" w:cs="Times New Roman" w:hAnsi="Times New Roman"/>
      <w:szCs w:val="24"/>
    </w:rPr>
  </w:style>
  <w:style w:type="paragraph" w:styleId="28">
    <w:name w:val="toc 6"/>
    <w:basedOn w:val="0"/>
    <w:autoRedefine/>
    <w:next w:val="0"/>
    <w:pPr>
      <w:ind w:left="2100"/>
    </w:pPr>
    <w:rPr>
      <w:rFonts w:ascii="Times New Roman" w:eastAsia="宋体" w:cs="Times New Roman" w:hAnsi="Times New Roman"/>
      <w:szCs w:val="24"/>
    </w:rPr>
  </w:style>
  <w:style w:type="paragraph" w:customStyle="1" w:styleId="29">
    <w:name w:val="样式 3 10 磅"/>
    <w:pPr>
      <w:widowControl w:val="0"/>
      <w:jc w:val="both"/>
    </w:pPr>
    <w:rPr>
      <w:rFonts w:ascii="Times New Roman" w:eastAsia="宋体" w:cs="Times New Roman" w:hAnsi="Times New Roman"/>
      <w:kern w:val="2"/>
      <w:sz w:val="21"/>
      <w:szCs w:val="24"/>
      <w:lang w:val="en-US" w:eastAsia="zh-CN" w:bidi="ar-SA"/>
    </w:rPr>
  </w:style>
  <w:style w:type="paragraph" w:customStyle="1" w:styleId="30">
    <w:name w:val="样式 三号"/>
    <w:pPr>
      <w:widowControl w:val="0"/>
      <w:jc w:val="both"/>
    </w:pPr>
    <w:rPr>
      <w:rFonts w:ascii="Times New Roman" w:eastAsia="方正仿宋_GBK" w:cs="Times New Roman" w:hAnsi="Times New Roman"/>
      <w:kern w:val="2"/>
      <w:sz w:val="32"/>
      <w:szCs w:val="20"/>
      <w:lang w:val="en-US" w:eastAsia="zh-CN" w:bidi="ar-SA"/>
    </w:rPr>
  </w:style>
  <w:style w:type="paragraph" w:customStyle="1" w:styleId="31">
    <w:name w:val="样式 5 小四"/>
    <w:next w:val="25"/>
    <w:rPr>
      <w:rFonts w:ascii="Times New Roman" w:eastAsia="宋体" w:cs="Times New Roman" w:hAnsi="Times New Roman"/>
      <w:kern w:val="0"/>
      <w:sz w:val="24"/>
      <w:szCs w:val="24"/>
      <w:lang w:val="en-US" w:eastAsia="zh-CN" w:bidi="ar-SA"/>
    </w:rPr>
  </w:style>
  <w:style w:type="paragraph" w:customStyle="1" w:styleId="32">
    <w:name w:val="样式 6 小四"/>
    <w:next w:val="26"/>
    <w:rPr>
      <w:rFonts w:ascii="Times New Roman" w:eastAsia="宋体" w:cs="Times New Roman" w:hAnsi="Times New Roman"/>
      <w:kern w:val="0"/>
      <w:sz w:val="24"/>
      <w:szCs w:val="24"/>
      <w:lang w:val="en-US" w:eastAsia="zh-CN" w:bidi="ar-SA"/>
    </w:rPr>
  </w:style>
  <w:style w:type="paragraph" w:customStyle="1" w:styleId="33">
    <w:name w:val="样式 2 三号"/>
    <w:next w:val="27"/>
    <w:pPr>
      <w:jc w:val="both"/>
    </w:pPr>
    <w:rPr>
      <w:rFonts w:ascii="Times New Roman" w:eastAsia="宋体" w:cs="Times New Roman" w:hAnsi="Times New Roman"/>
      <w:kern w:val="0"/>
      <w:sz w:val="32"/>
      <w:szCs w:val="32"/>
      <w:lang w:val="en-US" w:eastAsia="zh-CN" w:bidi="ar-SA"/>
    </w:rPr>
  </w:style>
  <w:style w:type="paragraph" w:customStyle="1" w:styleId="34">
    <w:name w:val="样式 7 小四"/>
    <w:next w:val="28"/>
    <w:rPr>
      <w:rFonts w:ascii="宋体" w:eastAsia="宋体" w:cs="宋体"/>
      <w:kern w:val="0"/>
      <w:sz w:val="24"/>
      <w:szCs w:val="24"/>
      <w:lang w:val="en-US" w:eastAsia="zh-CN" w:bidi="ar-SA"/>
    </w:rPr>
  </w:style>
  <w:style w:type="paragraph" w:customStyle="1" w:styleId="35">
    <w:name w:val="样式 1 三号"/>
    <w:pPr>
      <w:widowControl w:val="0"/>
      <w:jc w:val="both"/>
    </w:pPr>
    <w:rPr>
      <w:rFonts w:ascii="Times New Roman" w:eastAsia="方正仿宋_GBK" w:cs="Times New Roman" w:hAnsi="Times New Roman"/>
      <w:kern w:val="2"/>
      <w:sz w:val="32"/>
      <w:szCs w:val="20"/>
      <w:lang w:val="en-US" w:eastAsia="zh-CN" w:bidi="ar-SA"/>
    </w:rPr>
  </w:style>
  <w:style w:type="paragraph" w:customStyle="1" w:styleId="36">
    <w:name w:val="样式 小三"/>
    <w:pPr>
      <w:widowControl w:val="0"/>
      <w:jc w:val="both"/>
    </w:pPr>
    <w:rPr>
      <w:rFonts w:ascii="Times New Roman" w:eastAsia="仿宋_GB2312" w:cs="Times New Roman" w:hAnsi="Times New Roman"/>
      <w:kern w:val="2"/>
      <w:sz w:val="30"/>
      <w:szCs w:val="30"/>
      <w:lang w:val="en-US" w:eastAsia="zh-CN" w:bidi="ar-SA"/>
    </w:rPr>
  </w:style>
  <w:style w:type="paragraph" w:customStyle="1" w:styleId="37">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38">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39">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40">
    <w:name w:val="样式 7 10 磅"/>
    <w:pPr>
      <w:widowControl w:val="0"/>
      <w:jc w:val="both"/>
    </w:pPr>
    <w:rPr>
      <w:rFonts w:ascii="Times New Roman" w:eastAsia="宋体" w:cs="Times New Roman" w:hAnsi="Times New Roman"/>
      <w:kern w:val="2"/>
      <w:sz w:val="21"/>
      <w:szCs w:val="24"/>
      <w:lang w:val="en-US" w:eastAsia="zh-CN" w:bidi="ar-SA"/>
    </w:rPr>
  </w:style>
  <w:style w:type="paragraph" w:customStyle="1" w:styleId="41">
    <w:name w:val="样式 小四"/>
    <w:pPr>
      <w:widowControl w:val="0"/>
    </w:pPr>
    <w:rPr>
      <w:rFonts w:ascii="宋体" w:eastAsia="宋体" w:cs="Times New Roman"/>
      <w:kern w:val="2"/>
      <w:sz w:val="24"/>
      <w:szCs w:val="21"/>
      <w:lang w:val="en-US" w:eastAsia="zh-CN" w:bidi="ar-SA"/>
    </w:rPr>
  </w:style>
  <w:style w:type="paragraph" w:customStyle="1" w:styleId="42">
    <w:name w:val="样式 8 10 磅"/>
    <w:pPr>
      <w:widowControl w:val="0"/>
      <w:jc w:val="both"/>
    </w:pPr>
    <w:rPr>
      <w:rFonts w:ascii="Times New Roman" w:eastAsia="宋体" w:cs="Times New Roman" w:hAnsi="Times New Roman"/>
      <w:kern w:val="2"/>
      <w:sz w:val="21"/>
      <w:szCs w:val="24"/>
      <w:lang w:val="en-US" w:eastAsia="zh-CN" w:bidi="ar-SA"/>
    </w:rPr>
  </w:style>
  <w:style w:type="paragraph" w:customStyle="1" w:styleId="43">
    <w:name w:val="样式 9 10 磅"/>
    <w:pPr>
      <w:widowControl w:val="0"/>
      <w:jc w:val="both"/>
    </w:pPr>
    <w:rPr>
      <w:rFonts w:ascii="Times New Roman" w:eastAsia="宋体" w:cs="Times New Roman" w:hAnsi="Times New Roman"/>
      <w:kern w:val="2"/>
      <w:sz w:val="21"/>
      <w:szCs w:val="24"/>
      <w:lang w:val="en-US" w:eastAsia="zh-CN" w:bidi="ar-SA"/>
    </w:rPr>
  </w:style>
  <w:style w:type="paragraph" w:customStyle="1" w:styleId="44">
    <w:name w:val="样式 10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11 10 磅"/>
    <w:pPr>
      <w:widowControl w:val="0"/>
      <w:jc w:val="both"/>
    </w:pPr>
    <w:rPr>
      <w:rFonts w:ascii="Times New Roman" w:eastAsia="宋体" w:cs="Times New Roman" w:hAnsi="Times New Roman"/>
      <w:kern w:val="2"/>
      <w:sz w:val="21"/>
      <w:szCs w:val="24"/>
      <w:lang w:val="en-US" w:eastAsia="zh-CN" w:bidi="ar-SA"/>
    </w:rPr>
  </w:style>
  <w:style w:type="paragraph" w:customStyle="1" w:styleId="46">
    <w:name w:val="样式 12 10 磅"/>
    <w:pPr>
      <w:widowControl w:val="0"/>
      <w:jc w:val="both"/>
    </w:pPr>
    <w:rPr>
      <w:rFonts w:ascii="Times New Roman" w:eastAsia="宋体" w:cs="Times New Roman" w:hAnsi="Times New Roman"/>
      <w:kern w:val="2"/>
      <w:sz w:val="21"/>
      <w:szCs w:val="24"/>
      <w:lang w:val="en-US" w:eastAsia="zh-CN" w:bidi="ar-SA"/>
    </w:rPr>
  </w:style>
  <w:style w:type="paragraph" w:customStyle="1" w:styleId="47">
    <w:name w:val="样式 13 10 磅"/>
    <w:pPr>
      <w:widowControl w:val="0"/>
      <w:jc w:val="both"/>
    </w:pPr>
    <w:rPr>
      <w:rFonts w:ascii="Times New Roman" w:eastAsia="宋体" w:cs="Times New Roman" w:hAnsi="Times New Roman"/>
      <w:kern w:val="2"/>
      <w:sz w:val="21"/>
      <w:szCs w:val="24"/>
      <w:lang w:val="en-US" w:eastAsia="zh-CN" w:bidi="ar-SA"/>
    </w:rPr>
  </w:style>
  <w:style w:type="paragraph" w:customStyle="1" w:styleId="48">
    <w:name w:val="样式 14 10 磅"/>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15 10 磅"/>
    <w:pPr>
      <w:widowControl w:val="0"/>
      <w:jc w:val="both"/>
    </w:pPr>
    <w:rPr>
      <w:rFonts w:ascii="Times New Roman" w:eastAsia="宋体" w:cs="Times New Roman" w:hAnsi="Times New Roman"/>
      <w:kern w:val="2"/>
      <w:sz w:val="21"/>
      <w:szCs w:val="24"/>
      <w:lang w:val="en-US" w:eastAsia="zh-CN" w:bidi="ar-SA"/>
    </w:rPr>
  </w:style>
  <w:style w:type="paragraph" w:customStyle="1" w:styleId="50">
    <w:name w:val="样式 16 10 磅"/>
    <w:pPr>
      <w:widowControl w:val="0"/>
      <w:numPr>
        <w:ilvl w:val="0"/>
        <w:numId w:val="1"/>
      </w:numPr>
      <w:tabs>
        <w:tab w:val="clear" w:pos="360"/>
      </w:tabs>
      <w:ind w:left="0" w:firstLine="0"/>
      <w:jc w:val="both"/>
    </w:pPr>
    <w:rPr>
      <w:rFonts w:ascii="Times New Roman" w:eastAsia="宋体" w:cs="Times New Roman" w:hAnsi="Times New Roman"/>
      <w:kern w:val="2"/>
      <w:sz w:val="21"/>
      <w:szCs w:val="24"/>
      <w:lang w:val="en-US" w:eastAsia="zh-CN" w:bidi="ar-SA"/>
    </w:rPr>
  </w:style>
  <w:style w:type="paragraph" w:customStyle="1" w:styleId="51">
    <w:name w:val="样式 17 10 磅"/>
    <w:pPr>
      <w:widowControl w:val="0"/>
      <w:numPr>
        <w:ilvl w:val="0"/>
        <w:numId w:val="2"/>
      </w:numPr>
      <w:tabs>
        <w:tab w:val="clear" w:pos="360"/>
      </w:tabs>
      <w:ind w:left="0" w:firstLine="0"/>
      <w:jc w:val="both"/>
    </w:pPr>
    <w:rPr>
      <w:rFonts w:ascii="Times New Roman" w:eastAsia="宋体" w:cs="Times New Roman" w:hAnsi="Times New Roman"/>
      <w:kern w:val="2"/>
      <w:sz w:val="21"/>
      <w:szCs w:val="24"/>
      <w:lang w:val="en-US" w:eastAsia="zh-CN" w:bidi="ar-SA"/>
    </w:rPr>
  </w:style>
  <w:style w:type="paragraph" w:customStyle="1" w:styleId="52">
    <w:name w:val="样式 18 10 磅"/>
    <w:pPr>
      <w:widowControl w:val="0"/>
      <w:jc w:val="both"/>
    </w:pPr>
    <w:rPr>
      <w:rFonts w:ascii="Times New Roman" w:eastAsia="宋体" w:cs="Times New Roman" w:hAnsi="Times New Roman"/>
      <w:kern w:val="2"/>
      <w:sz w:val="21"/>
      <w:szCs w:val="24"/>
      <w:lang w:val="en-US" w:eastAsia="zh-CN" w:bidi="ar-SA"/>
    </w:rPr>
  </w:style>
  <w:style w:type="paragraph" w:customStyle="1" w:styleId="53">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54">
    <w:name w:val="样式 20 10 磅"/>
    <w:pPr>
      <w:widowControl w:val="0"/>
      <w:jc w:val="both"/>
    </w:pPr>
    <w:rPr>
      <w:rFonts w:ascii="Times New Roman" w:eastAsia="宋体" w:cs="Times New Roman" w:hAnsi="Times New Roman"/>
      <w:kern w:val="2"/>
      <w:sz w:val="21"/>
      <w:szCs w:val="24"/>
      <w:lang w:val="en-US" w:eastAsia="zh-CN" w:bidi="ar-SA"/>
    </w:rPr>
  </w:style>
  <w:style w:type="paragraph" w:customStyle="1" w:styleId="55">
    <w:name w:val="样式 21 10 磅"/>
    <w:pPr>
      <w:widowControl w:val="0"/>
      <w:jc w:val="both"/>
    </w:pPr>
    <w:rPr>
      <w:rFonts w:ascii="Times New Roman" w:eastAsia="宋体" w:cs="Times New Roman" w:hAnsi="Times New Roman"/>
      <w:kern w:val="2"/>
      <w:sz w:val="21"/>
      <w:szCs w:val="24"/>
      <w:lang w:val="en-US" w:eastAsia="zh-CN" w:bidi="ar-SA"/>
    </w:rPr>
  </w:style>
  <w:style w:type="paragraph" w:customStyle="1" w:styleId="56">
    <w:name w:val="样式 1 小四"/>
    <w:pPr>
      <w:widowControl w:val="0"/>
      <w:numPr>
        <w:ilvl w:val="0"/>
        <w:numId w:val="3"/>
      </w:numPr>
      <w:tabs>
        <w:tab w:val="clear" w:pos="780"/>
      </w:tabs>
      <w:autoSpaceDE w:val="0"/>
      <w:autoSpaceDN w:val="0"/>
      <w:adjustRightInd w:val="0"/>
      <w:ind w:left="0" w:firstLine="0"/>
    </w:pPr>
    <w:rPr>
      <w:rFonts w:ascii="Times New Roman" w:eastAsia="宋体" w:cs="Times New Roman" w:hAnsi="Times New Roman"/>
      <w:color w:val="000000"/>
      <w:kern w:val="0"/>
      <w:sz w:val="24"/>
      <w:szCs w:val="24"/>
      <w:lang w:val="en-US" w:eastAsia="zh-CN" w:bidi="ar-SA"/>
    </w:rPr>
  </w:style>
  <w:style w:type="paragraph" w:customStyle="1" w:styleId="57">
    <w:name w:val="样式 1 小三"/>
    <w:pPr>
      <w:widowControl w:val="0"/>
      <w:numPr>
        <w:ilvl w:val="0"/>
        <w:numId w:val="4"/>
      </w:numPr>
      <w:tabs>
        <w:tab w:val="clear" w:pos="1620"/>
      </w:tabs>
      <w:ind w:left="0" w:firstLine="0"/>
      <w:jc w:val="both"/>
    </w:pPr>
    <w:rPr>
      <w:rFonts w:ascii="Times New Roman" w:eastAsia="仿宋_GB2312" w:cs="Times New Roman" w:hAnsi="Times New Roman"/>
      <w:kern w:val="2"/>
      <w:sz w:val="30"/>
      <w:szCs w:val="30"/>
      <w:lang w:val="en-US" w:eastAsia="zh-CN" w:bidi="ar-SA"/>
    </w:rPr>
  </w:style>
  <w:style w:type="paragraph" w:styleId="58">
    <w:name w:val="Body Text"/>
    <w:basedOn w:val="0"/>
    <w:pPr>
      <w:numPr>
        <w:ilvl w:val="0"/>
        <w:numId w:val="5"/>
      </w:numPr>
      <w:tabs>
        <w:tab w:val="clear" w:pos="2040"/>
      </w:tabs>
      <w:spacing w:after="120"/>
      <w:ind w:left="0" w:firstLine="0"/>
    </w:pPr>
    <w:rPr>
      <w:rFonts w:ascii="Times New Roman" w:eastAsia="宋体" w:cs="Times New Roman" w:hAnsi="Times New Roman"/>
      <w:szCs w:val="24"/>
    </w:rPr>
  </w:style>
  <w:style w:type="paragraph" w:customStyle="1" w:styleId="59">
    <w:name w:val="样式 3 三号"/>
    <w:pPr>
      <w:widowControl w:val="0"/>
      <w:jc w:val="both"/>
    </w:pPr>
    <w:rPr>
      <w:rFonts w:ascii="Times New Roman" w:eastAsia="方正仿宋_GBK" w:cs="Times New Roman" w:hAnsi="Times New Roman"/>
      <w:kern w:val="2"/>
      <w:sz w:val="32"/>
      <w:szCs w:val="20"/>
      <w:lang w:val="en-US" w:eastAsia="zh-CN" w:bidi="ar-SA"/>
    </w:rPr>
  </w:style>
  <w:style w:type="paragraph" w:customStyle="1" w:styleId="60">
    <w:name w:val="样式 71 三号"/>
    <w:next w:val="21"/>
    <w:pPr>
      <w:widowControl w:val="0"/>
      <w:autoSpaceDE w:val="0"/>
      <w:autoSpaceDN w:val="0"/>
    </w:pPr>
    <w:rPr>
      <w:rFonts w:ascii="仿宋" w:eastAsia="仿宋" w:cs="仿宋"/>
      <w:kern w:val="0"/>
      <w:sz w:val="32"/>
      <w:szCs w:val="32"/>
      <w:lang w:val="zh-CN" w:eastAsia="zh-CN" w:bidi="ar-SA"/>
    </w:rPr>
  </w:style>
  <w:style w:type="paragraph" w:styleId="61">
    <w:name w:val="caption"/>
    <w:basedOn w:val="0"/>
    <w:next w:val="0"/>
    <w:rPr>
      <w:rFonts w:ascii="Cambria" w:eastAsia="黑体" w:cs="Times New Roman" w:hAnsi="Cambria"/>
      <w:sz w:val="20"/>
      <w:szCs w:val="20"/>
    </w:rPr>
  </w:style>
  <w:style w:type="paragraph" w:customStyle="1" w:styleId="62">
    <w:name w:val="List Paragraph"/>
    <w:basedOn w:val="0"/>
    <w:pPr>
      <w:ind w:firstLineChars="200" w:firstLine="200"/>
    </w:pPr>
  </w:style>
  <w:style w:type="character" w:styleId="63">
    <w:name w:val="annotation reference"/>
    <w:basedOn w:val="10"/>
    <w:rPr>
      <w:sz w:val="21"/>
      <w:szCs w:val="21"/>
    </w:rPr>
  </w:style>
  <w:style w:type="paragraph" w:styleId="64">
    <w:name w:val="annotation text"/>
    <w:basedOn w:val="0"/>
    <w:pPr>
      <w:jc w:val="left"/>
    </w:pPr>
  </w:style>
  <w:style w:type="paragraph" w:styleId="65">
    <w:name w:val="annotation subject"/>
    <w:basedOn w:val="64"/>
    <w:next w:val="64"/>
    <w:rPr>
      <w:b/>
      <w:bCs/>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4.png"/><Relationship Id="rId4" Type="http://schemas.openxmlformats.org/officeDocument/2006/relationships/image" Target="media/6.png"/><Relationship Id="rId5" Type="http://schemas.openxmlformats.org/officeDocument/2006/relationships/image" Target="media/8.png"/><Relationship Id="rId6" Type="http://schemas.openxmlformats.org/officeDocument/2006/relationships/image" Target="media/10.png"/><Relationship Id="rId7" Type="http://schemas.openxmlformats.org/officeDocument/2006/relationships/image" Target="media/12.png"/><Relationship Id="rId8" Type="http://schemas.openxmlformats.org/officeDocument/2006/relationships/styles" Target="styles.xml"/><Relationship Id="rId9" Type="http://schemas.openxmlformats.org/officeDocument/2006/relationships/numbering" Target="numbering.xml"/><Relationship Id="rId10" Type="http://schemas.openxmlformats.org/officeDocument/2006/relationships/fontTable" Target="fontTable.xml"/></Relationships>
</file>

<file path=docProps/app.xml><?xml version="1.0" encoding="utf-8"?>
<Properties xmlns="http://schemas.openxmlformats.org/officeDocument/2006/extended-properties">
  <Template>Normal.eit</Template>
  <TotalTime>780</TotalTime>
  <Application>Yozo_Office</Application>
  <Pages>48</Pages>
  <Words>17144</Words>
  <Characters>20687</Characters>
  <Lines>3346</Lines>
  <Paragraphs>1882</Paragraphs>
  <CharactersWithSpaces>21619</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陈菁梅</dc:creator>
  <cp:lastModifiedBy>AutoBVT</cp:lastModifiedBy>
  <cp:revision>181</cp:revision>
  <dcterms:created xsi:type="dcterms:W3CDTF">2022-07-30T03:43:00Z</dcterms:created>
  <dcterms:modified xsi:type="dcterms:W3CDTF">2023-08-25T09:21:48Z</dcterms:modified>
</cp:coreProperties>
</file>