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utoSpaceDN w:val="0"/>
        <w:rPr>
          <w:b/>
          <w:bCs/>
          <w:sz w:val="84"/>
          <w:szCs w:val="84"/>
        </w:rPr>
      </w:pPr>
    </w:p>
    <w:p>
      <w:pPr>
        <w:autoSpaceDN w:val="0"/>
        <w:rPr>
          <w:b/>
          <w:bCs/>
          <w:sz w:val="84"/>
          <w:szCs w:val="84"/>
        </w:rPr>
      </w:pPr>
    </w:p>
    <w:p>
      <w:pPr>
        <w:autoSpaceDN w:val="0"/>
        <w:rPr>
          <w:b/>
          <w:bCs/>
          <w:sz w:val="84"/>
          <w:szCs w:val="84"/>
        </w:rPr>
      </w:pPr>
    </w:p>
    <w:p>
      <w:pPr>
        <w:autoSpaceDN w:val="0"/>
        <w:rPr>
          <w:b/>
          <w:bCs/>
          <w:sz w:val="84"/>
          <w:szCs w:val="84"/>
        </w:rPr>
      </w:pPr>
    </w:p>
    <w:p>
      <w:pPr>
        <w:autoSpaceDN w:val="0"/>
        <w:spacing w:line="1000" w:lineRule="exact"/>
        <w:jc w:val="center"/>
        <w:rPr>
          <w:rFonts w:ascii="方正小标宋_GBK" w:eastAsia="方正小标宋_GBK"/>
          <w:sz w:val="84"/>
          <w:szCs w:val="84"/>
        </w:rPr>
      </w:pPr>
      <w:r>
        <w:rPr>
          <w:rFonts w:ascii="方正小标宋_GBK" w:eastAsia="方正小标宋_GBK" w:hint="eastAsia"/>
          <w:sz w:val="84"/>
          <w:szCs w:val="84"/>
        </w:rPr>
        <w:t>2022年度</w:t>
      </w:r>
    </w:p>
    <w:p>
      <w:pPr>
        <w:autoSpaceDN w:val="0"/>
        <w:spacing w:line="1000" w:lineRule="exact"/>
        <w:jc w:val="center"/>
        <w:rPr>
          <w:b/>
          <w:bCs/>
          <w:sz w:val="84"/>
          <w:szCs w:val="84"/>
        </w:rPr>
      </w:pPr>
      <w:r>
        <w:rPr>
          <w:rFonts w:ascii="方正小标宋_GBK" w:eastAsia="方正小标宋_GBK" w:hint="eastAsia"/>
          <w:sz w:val="84"/>
          <w:szCs w:val="84"/>
        </w:rPr>
        <w:t>重庆港海关部门决算</w:t>
      </w:r>
      <w:r>
        <w:rPr>
          <w:sz w:val="84"/>
          <w:szCs w:val="84"/>
        </w:rPr>
        <w:br w:type="page"/>
      </w:r>
      <w:r>
        <w:rPr>
          <w:rFonts w:ascii="方正黑体_GBK" w:eastAsia="方正黑体_GBK" w:hint="eastAsia"/>
          <w:sz w:val="52"/>
          <w:szCs w:val="52"/>
        </w:rPr>
        <w:t>目 录</w:t>
      </w:r>
    </w:p>
    <w:p>
      <w:pPr>
        <w:autoSpaceDN w:val="0"/>
        <w:spacing w:line="400" w:lineRule="exact"/>
        <w:rPr>
          <w:rFonts w:eastAsia="方正黑体_GBK"/>
          <w:sz w:val="36"/>
          <w:szCs w:val="36"/>
        </w:rPr>
      </w:pPr>
    </w:p>
    <w:p>
      <w:pPr>
        <w:autoSpaceDN w:val="0"/>
        <w:spacing w:line="400" w:lineRule="exact"/>
        <w:ind w:firstLineChars="100" w:firstLine="360"/>
        <w:rPr>
          <w:rFonts w:eastAsia="方正黑体_GBK"/>
          <w:sz w:val="36"/>
          <w:szCs w:val="36"/>
        </w:rPr>
      </w:pPr>
      <w:r>
        <w:rPr>
          <w:rFonts w:eastAsia="方正黑体_GBK"/>
          <w:sz w:val="36"/>
          <w:szCs w:val="36"/>
        </w:rPr>
        <w:t xml:space="preserve">第一部分 </w:t>
      </w:r>
      <w:r>
        <w:rPr>
          <w:rFonts w:eastAsia="方正黑体_GBK" w:cs="仿宋"/>
          <w:sz w:val="36"/>
          <w:szCs w:val="36"/>
        </w:rPr>
        <w:t>重庆港</w:t>
      </w:r>
      <w:r>
        <w:rPr>
          <w:rFonts w:eastAsia="方正黑体_GBK" w:cs="仿宋" w:hint="eastAsia"/>
          <w:sz w:val="36"/>
          <w:szCs w:val="36"/>
        </w:rPr>
        <w:t>海关</w:t>
      </w:r>
      <w:r>
        <w:rPr>
          <w:rFonts w:eastAsia="方正黑体_GBK" w:hint="eastAsia"/>
          <w:sz w:val="36"/>
          <w:szCs w:val="36"/>
        </w:rPr>
        <w:t>概况</w:t>
      </w:r>
      <w:r>
        <w:rPr>
          <w:rFonts w:eastAsia="方正黑体_GBK"/>
          <w:sz w:val="36"/>
          <w:szCs w:val="36"/>
        </w:rPr>
        <w:t>................................................3</w:t>
      </w:r>
    </w:p>
    <w:p>
      <w:pPr>
        <w:autoSpaceDN w:val="0"/>
        <w:spacing w:line="500" w:lineRule="exact"/>
        <w:ind w:firstLineChars="100" w:firstLine="360"/>
        <w:rPr>
          <w:rFonts w:eastAsia="方正黑体_GBK"/>
          <w:sz w:val="36"/>
          <w:szCs w:val="36"/>
        </w:rPr>
      </w:pPr>
      <w:r>
        <w:rPr>
          <w:rFonts w:eastAsia="方正仿宋_GBK"/>
          <w:sz w:val="36"/>
          <w:szCs w:val="36"/>
        </w:rPr>
        <w:t>一、</w:t>
      </w:r>
      <w:r>
        <w:rPr>
          <w:rFonts w:eastAsia="方正仿宋_GBK" w:hint="eastAsia"/>
          <w:sz w:val="36"/>
          <w:szCs w:val="36"/>
        </w:rPr>
        <w:t>部门职责</w:t>
      </w:r>
      <w:r>
        <w:rPr>
          <w:rFonts w:eastAsia="方正黑体_GBK"/>
          <w:sz w:val="36"/>
          <w:szCs w:val="36"/>
        </w:rPr>
        <w:t>........................................................................4</w:t>
      </w:r>
    </w:p>
    <w:p>
      <w:pPr>
        <w:autoSpaceDN w:val="0"/>
        <w:spacing w:line="500" w:lineRule="exact"/>
        <w:ind w:firstLineChars="100" w:firstLine="360"/>
        <w:rPr>
          <w:rFonts w:eastAsia="方正黑体_GBK"/>
          <w:sz w:val="36"/>
          <w:szCs w:val="36"/>
        </w:rPr>
      </w:pPr>
      <w:r>
        <w:rPr>
          <w:rFonts w:eastAsia="方正仿宋_GBK" w:hint="eastAsia"/>
          <w:sz w:val="36"/>
          <w:szCs w:val="36"/>
        </w:rPr>
        <w:t>二</w:t>
      </w:r>
      <w:r>
        <w:rPr>
          <w:rFonts w:eastAsia="方正仿宋_GBK"/>
          <w:sz w:val="36"/>
          <w:szCs w:val="36"/>
        </w:rPr>
        <w:t>、</w:t>
      </w:r>
      <w:r>
        <w:rPr>
          <w:rFonts w:eastAsia="方正仿宋_GBK" w:hint="eastAsia"/>
          <w:sz w:val="36"/>
          <w:szCs w:val="36"/>
        </w:rPr>
        <w:t>机构设置</w:t>
      </w:r>
      <w:r>
        <w:rPr>
          <w:rFonts w:eastAsia="方正黑体_GBK"/>
          <w:sz w:val="36"/>
          <w:szCs w:val="36"/>
        </w:rPr>
        <w:t>........................................................................4</w:t>
      </w:r>
    </w:p>
    <w:p>
      <w:pPr>
        <w:autoSpaceDN w:val="0"/>
        <w:spacing w:line="500" w:lineRule="exact"/>
        <w:ind w:firstLineChars="100" w:firstLine="360"/>
        <w:rPr>
          <w:rFonts w:eastAsia="方正黑体_GBK"/>
          <w:sz w:val="36"/>
          <w:szCs w:val="36"/>
        </w:rPr>
      </w:pPr>
      <w:r>
        <w:rPr>
          <w:rFonts w:eastAsia="方正黑体_GBK"/>
          <w:sz w:val="36"/>
          <w:szCs w:val="36"/>
        </w:rPr>
        <w:t>第二部分 20</w:t>
      </w:r>
      <w:r>
        <w:rPr>
          <w:rFonts w:eastAsia="方正黑体_GBK" w:hint="eastAsia"/>
          <w:sz w:val="36"/>
          <w:szCs w:val="36"/>
        </w:rPr>
        <w:t>22年度部门决算表</w:t>
      </w:r>
      <w:r>
        <w:rPr>
          <w:rFonts w:eastAsia="方正黑体_GBK"/>
          <w:sz w:val="36"/>
          <w:szCs w:val="36"/>
        </w:rPr>
        <w:t>........................................5</w:t>
      </w:r>
    </w:p>
    <w:p>
      <w:pPr>
        <w:autoSpaceDN w:val="0"/>
        <w:spacing w:line="500" w:lineRule="exact"/>
        <w:ind w:left="360"/>
        <w:rPr>
          <w:rFonts w:eastAsia="方正黑体_GBK"/>
          <w:sz w:val="36"/>
          <w:szCs w:val="36"/>
        </w:rPr>
      </w:pPr>
      <w:r>
        <w:rPr>
          <w:rFonts w:eastAsia="方正仿宋_GBK"/>
          <w:sz w:val="36"/>
          <w:szCs w:val="36"/>
        </w:rPr>
        <w:t>一、</w:t>
      </w:r>
      <w:r>
        <w:rPr>
          <w:rFonts w:eastAsia="方正仿宋_GBK" w:hint="eastAsia"/>
          <w:sz w:val="36"/>
          <w:szCs w:val="36"/>
        </w:rPr>
        <w:t>收入支出决算总表</w:t>
      </w:r>
      <w:r>
        <w:rPr>
          <w:rFonts w:eastAsia="方正黑体_GBK"/>
          <w:sz w:val="36"/>
          <w:szCs w:val="36"/>
        </w:rPr>
        <w:t>........................................................6</w:t>
      </w:r>
    </w:p>
    <w:p>
      <w:pPr>
        <w:autoSpaceDN w:val="0"/>
        <w:spacing w:line="500" w:lineRule="exact"/>
        <w:ind w:leftChars="158" w:left="332"/>
        <w:rPr>
          <w:rFonts w:eastAsia="方正黑体_GBK"/>
          <w:sz w:val="36"/>
          <w:szCs w:val="36"/>
        </w:rPr>
      </w:pPr>
      <w:r>
        <w:rPr>
          <w:rFonts w:eastAsia="方正仿宋_GBK"/>
          <w:sz w:val="36"/>
          <w:szCs w:val="36"/>
        </w:rPr>
        <w:t>二、</w:t>
      </w:r>
      <w:r>
        <w:rPr>
          <w:rFonts w:eastAsia="方正仿宋_GBK" w:hint="eastAsia"/>
          <w:sz w:val="36"/>
          <w:szCs w:val="36"/>
        </w:rPr>
        <w:t>收入决算表</w:t>
      </w:r>
      <w:r>
        <w:rPr>
          <w:rFonts w:eastAsia="方正黑体_GBK"/>
          <w:sz w:val="36"/>
          <w:szCs w:val="36"/>
        </w:rPr>
        <w:t>....................................................................7</w:t>
      </w:r>
      <w:r>
        <w:rPr>
          <w:rFonts w:eastAsia="方正仿宋_GBK"/>
          <w:sz w:val="36"/>
          <w:szCs w:val="36"/>
        </w:rPr>
        <w:t>三、</w:t>
      </w:r>
      <w:r>
        <w:rPr>
          <w:rFonts w:eastAsia="方正仿宋_GBK" w:hint="eastAsia"/>
          <w:sz w:val="36"/>
          <w:szCs w:val="36"/>
        </w:rPr>
        <w:t>支出决算表</w:t>
      </w:r>
      <w:r>
        <w:rPr>
          <w:rFonts w:eastAsia="方正黑体_GBK"/>
          <w:sz w:val="36"/>
          <w:szCs w:val="36"/>
        </w:rPr>
        <w:t>....................................................................7</w:t>
      </w:r>
      <w:r>
        <w:rPr>
          <w:rFonts w:eastAsia="方正仿宋_GBK"/>
          <w:sz w:val="36"/>
          <w:szCs w:val="36"/>
        </w:rPr>
        <w:t>四、</w:t>
      </w:r>
      <w:r>
        <w:rPr>
          <w:rFonts w:eastAsia="方正仿宋_GBK" w:hint="eastAsia"/>
          <w:sz w:val="36"/>
          <w:szCs w:val="36"/>
        </w:rPr>
        <w:t>财政拨款收入支出决算总表</w:t>
      </w:r>
      <w:r>
        <w:rPr>
          <w:rFonts w:eastAsia="方正黑体_GBK"/>
          <w:sz w:val="36"/>
          <w:szCs w:val="36"/>
        </w:rPr>
        <w:t>........................................8</w:t>
      </w:r>
      <w:r>
        <w:rPr>
          <w:rFonts w:eastAsia="方正仿宋_GBK"/>
          <w:sz w:val="36"/>
          <w:szCs w:val="36"/>
        </w:rPr>
        <w:t>五、</w:t>
      </w:r>
      <w:r>
        <w:rPr>
          <w:rFonts w:eastAsia="方正仿宋_GBK" w:hint="eastAsia"/>
          <w:spacing w:val="-20"/>
          <w:sz w:val="36"/>
          <w:szCs w:val="36"/>
        </w:rPr>
        <w:t>一般公共预算财政拨款支出决算表</w:t>
      </w:r>
      <w:r>
        <w:rPr>
          <w:rFonts w:eastAsia="方正黑体_GBK"/>
          <w:sz w:val="36"/>
          <w:szCs w:val="36"/>
        </w:rPr>
        <w:t>...................................8</w:t>
      </w:r>
      <w:r>
        <w:rPr>
          <w:rFonts w:eastAsia="方正仿宋_GBK" w:hint="eastAsia"/>
          <w:sz w:val="36"/>
          <w:szCs w:val="36"/>
        </w:rPr>
        <w:t>六</w:t>
      </w:r>
      <w:r>
        <w:rPr>
          <w:rFonts w:eastAsia="方正仿宋_GBK"/>
          <w:sz w:val="36"/>
          <w:szCs w:val="36"/>
        </w:rPr>
        <w:t>、</w:t>
      </w:r>
      <w:r>
        <w:rPr>
          <w:rFonts w:eastAsia="方正仿宋_GBK" w:hint="eastAsia"/>
          <w:spacing w:val="-20"/>
          <w:sz w:val="36"/>
          <w:szCs w:val="36"/>
        </w:rPr>
        <w:t>一般公共预算财政拨款基本支出决算</w:t>
      </w:r>
      <w:r>
        <w:rPr>
          <w:rFonts w:eastAsia="方正仿宋_GBK"/>
          <w:spacing w:val="-20"/>
          <w:sz w:val="36"/>
          <w:szCs w:val="36"/>
        </w:rPr>
        <w:t>明细</w:t>
      </w:r>
      <w:r>
        <w:rPr>
          <w:rFonts w:eastAsia="方正仿宋_GBK" w:hint="eastAsia"/>
          <w:spacing w:val="-20"/>
          <w:sz w:val="36"/>
          <w:szCs w:val="36"/>
        </w:rPr>
        <w:t>表</w:t>
      </w:r>
      <w:r>
        <w:rPr>
          <w:rFonts w:eastAsia="方正黑体_GBK"/>
          <w:sz w:val="36"/>
          <w:szCs w:val="36"/>
        </w:rPr>
        <w:t>.....................9</w:t>
      </w:r>
    </w:p>
    <w:p>
      <w:pPr>
        <w:autoSpaceDN w:val="0"/>
        <w:spacing w:line="500" w:lineRule="exact"/>
        <w:ind w:leftChars="158" w:left="332"/>
        <w:rPr>
          <w:rFonts w:eastAsia="方正黑体_GBK"/>
          <w:sz w:val="36"/>
          <w:szCs w:val="36"/>
        </w:rPr>
      </w:pPr>
      <w:r>
        <w:rPr>
          <w:rFonts w:eastAsia="方正仿宋_GBK" w:hint="eastAsia"/>
          <w:sz w:val="36"/>
          <w:szCs w:val="36"/>
        </w:rPr>
        <w:t>七</w:t>
      </w:r>
      <w:r>
        <w:rPr>
          <w:rFonts w:eastAsia="方正仿宋_GBK"/>
          <w:sz w:val="36"/>
          <w:szCs w:val="36"/>
        </w:rPr>
        <w:t>、</w:t>
      </w:r>
      <w:r>
        <w:rPr>
          <w:rFonts w:eastAsia="方正仿宋_GBK" w:hint="eastAsia"/>
          <w:spacing w:val="-20"/>
          <w:sz w:val="36"/>
          <w:szCs w:val="36"/>
        </w:rPr>
        <w:t>政府性基金预算财政拨款收入支出决算表</w:t>
      </w:r>
      <w:r>
        <w:rPr>
          <w:rFonts w:eastAsia="方正黑体_GBK"/>
          <w:sz w:val="36"/>
          <w:szCs w:val="36"/>
        </w:rPr>
        <w:t>......................10</w:t>
      </w:r>
      <w:r>
        <w:rPr>
          <w:rFonts w:eastAsia="方正仿宋_GBK" w:hint="eastAsia"/>
          <w:sz w:val="36"/>
          <w:szCs w:val="36"/>
        </w:rPr>
        <w:t>八</w:t>
      </w:r>
      <w:r>
        <w:rPr>
          <w:rFonts w:eastAsia="方正仿宋_GBK"/>
          <w:sz w:val="36"/>
          <w:szCs w:val="36"/>
        </w:rPr>
        <w:t>、</w:t>
      </w:r>
      <w:r>
        <w:rPr>
          <w:rFonts w:eastAsia="方正仿宋_GBK" w:hint="eastAsia"/>
          <w:spacing w:val="-20"/>
          <w:sz w:val="36"/>
          <w:szCs w:val="36"/>
        </w:rPr>
        <w:t>国有资本经营预算财政拨款支出决算表</w:t>
      </w:r>
      <w:r>
        <w:rPr>
          <w:rFonts w:eastAsia="方正黑体_GBK"/>
          <w:sz w:val="36"/>
          <w:szCs w:val="36"/>
        </w:rPr>
        <w:t>.........................10</w:t>
      </w:r>
    </w:p>
    <w:p>
      <w:pPr>
        <w:autoSpaceDN w:val="0"/>
        <w:spacing w:line="500" w:lineRule="exact"/>
        <w:ind w:leftChars="158" w:left="332"/>
        <w:rPr>
          <w:rFonts w:ascii="方正楷体_GBK" w:eastAsia="方正楷体_GBK"/>
          <w:b/>
          <w:bCs/>
          <w:sz w:val="32"/>
          <w:szCs w:val="32"/>
        </w:rPr>
      </w:pPr>
      <w:r>
        <w:rPr>
          <w:rFonts w:eastAsia="方正仿宋_GBK" w:hint="eastAsia"/>
          <w:sz w:val="36"/>
          <w:szCs w:val="36"/>
        </w:rPr>
        <w:t>九</w:t>
      </w:r>
      <w:r>
        <w:rPr>
          <w:rFonts w:eastAsia="方正仿宋_GBK"/>
          <w:sz w:val="36"/>
          <w:szCs w:val="36"/>
        </w:rPr>
        <w:t>、</w:t>
      </w:r>
      <w:r>
        <w:rPr>
          <w:rFonts w:eastAsia="方正仿宋_GBK" w:hint="eastAsia"/>
          <w:spacing w:val="-20"/>
          <w:sz w:val="36"/>
          <w:szCs w:val="36"/>
        </w:rPr>
        <w:t>一般公共预算财政拨款“三公”经费支出决算表</w:t>
      </w:r>
      <w:r>
        <w:rPr>
          <w:rFonts w:eastAsia="方正黑体_GBK"/>
          <w:sz w:val="36"/>
          <w:szCs w:val="36"/>
        </w:rPr>
        <w:t>...........</w:t>
      </w:r>
      <w:r>
        <w:rPr>
          <w:rFonts w:eastAsia="方正黑体_GBK" w:hint="eastAsia"/>
          <w:sz w:val="36"/>
          <w:szCs w:val="36"/>
        </w:rPr>
        <w:t>11</w:t>
      </w:r>
      <w:r>
        <w:rPr>
          <w:rFonts w:eastAsia="方正黑体_GBK"/>
          <w:sz w:val="36"/>
          <w:szCs w:val="36"/>
        </w:rPr>
        <w:t>第三部分 20</w:t>
      </w:r>
      <w:r>
        <w:rPr>
          <w:rFonts w:eastAsia="方正黑体_GBK" w:hint="eastAsia"/>
          <w:sz w:val="36"/>
          <w:szCs w:val="36"/>
        </w:rPr>
        <w:t>22年度部门决算情况说明</w:t>
      </w:r>
      <w:r>
        <w:rPr>
          <w:rFonts w:eastAsia="方正黑体_GBK"/>
          <w:sz w:val="36"/>
          <w:szCs w:val="36"/>
        </w:rPr>
        <w:t>..........................11</w:t>
      </w:r>
      <w:r>
        <w:rPr>
          <w:rFonts w:eastAsia="方正仿宋_GBK" w:hint="eastAsia"/>
          <w:sz w:val="36"/>
          <w:szCs w:val="36"/>
        </w:rPr>
        <w:t>一</w:t>
      </w:r>
      <w:r>
        <w:rPr>
          <w:rFonts w:eastAsia="方正仿宋_GBK"/>
          <w:sz w:val="36"/>
          <w:szCs w:val="36"/>
        </w:rPr>
        <w:t>、</w:t>
      </w:r>
      <w:r>
        <w:rPr>
          <w:rFonts w:eastAsia="方正仿宋_GBK" w:hint="eastAsia"/>
          <w:sz w:val="36"/>
          <w:szCs w:val="36"/>
        </w:rPr>
        <w:t>收入支出决算总体情况说明</w:t>
      </w:r>
      <w:r>
        <w:rPr>
          <w:rFonts w:eastAsia="方正黑体_GBK"/>
          <w:sz w:val="36"/>
          <w:szCs w:val="36"/>
        </w:rPr>
        <w:t>......................................12</w:t>
      </w:r>
      <w:r>
        <w:rPr>
          <w:rFonts w:eastAsia="方正仿宋_GBK" w:hint="eastAsia"/>
          <w:sz w:val="36"/>
          <w:szCs w:val="36"/>
        </w:rPr>
        <w:t>二</w:t>
      </w:r>
      <w:r>
        <w:rPr>
          <w:rFonts w:eastAsia="方正仿宋_GBK"/>
          <w:sz w:val="36"/>
          <w:szCs w:val="36"/>
        </w:rPr>
        <w:t>、</w:t>
      </w:r>
      <w:r>
        <w:rPr>
          <w:rFonts w:eastAsia="方正仿宋_GBK" w:hint="eastAsia"/>
          <w:sz w:val="36"/>
          <w:szCs w:val="36"/>
        </w:rPr>
        <w:t>收入决算情况说明</w:t>
      </w:r>
      <w:r>
        <w:rPr>
          <w:rFonts w:eastAsia="方正黑体_GBK"/>
          <w:sz w:val="36"/>
          <w:szCs w:val="36"/>
        </w:rPr>
        <w:t>......................................................12</w:t>
      </w:r>
      <w:r>
        <w:rPr>
          <w:rFonts w:eastAsia="方正仿宋_GBK" w:hint="eastAsia"/>
          <w:sz w:val="36"/>
          <w:szCs w:val="36"/>
        </w:rPr>
        <w:t>三</w:t>
      </w:r>
      <w:r>
        <w:rPr>
          <w:rFonts w:eastAsia="方正仿宋_GBK"/>
          <w:sz w:val="36"/>
          <w:szCs w:val="36"/>
        </w:rPr>
        <w:t>、</w:t>
      </w:r>
      <w:r>
        <w:rPr>
          <w:rFonts w:eastAsia="方正仿宋_GBK" w:hint="eastAsia"/>
          <w:sz w:val="36"/>
          <w:szCs w:val="36"/>
        </w:rPr>
        <w:t>支出决算情况说明</w:t>
      </w:r>
      <w:r>
        <w:rPr>
          <w:rFonts w:eastAsia="方正黑体_GBK"/>
          <w:sz w:val="36"/>
          <w:szCs w:val="36"/>
        </w:rPr>
        <w:t>......................................................13</w:t>
      </w:r>
      <w:r>
        <w:rPr>
          <w:rFonts w:eastAsia="方正仿宋_GBK" w:hint="eastAsia"/>
          <w:sz w:val="36"/>
          <w:szCs w:val="36"/>
        </w:rPr>
        <w:t>四</w:t>
      </w:r>
      <w:r>
        <w:rPr>
          <w:rFonts w:eastAsia="方正仿宋_GBK"/>
          <w:sz w:val="36"/>
          <w:szCs w:val="36"/>
        </w:rPr>
        <w:t>、</w:t>
      </w:r>
      <w:r>
        <w:rPr>
          <w:rFonts w:eastAsia="方正仿宋_GBK" w:hint="eastAsia"/>
          <w:sz w:val="36"/>
          <w:szCs w:val="36"/>
        </w:rPr>
        <w:t>财政拨款收入支出总体情况说明</w:t>
      </w:r>
      <w:r>
        <w:rPr>
          <w:rFonts w:eastAsia="方正黑体_GBK"/>
          <w:sz w:val="36"/>
          <w:szCs w:val="36"/>
        </w:rPr>
        <w:t>..............................13</w:t>
      </w:r>
      <w:r>
        <w:rPr>
          <w:rFonts w:eastAsia="方正仿宋_GBK" w:hint="eastAsia"/>
          <w:sz w:val="36"/>
          <w:szCs w:val="36"/>
        </w:rPr>
        <w:t>五</w:t>
      </w:r>
      <w:r>
        <w:rPr>
          <w:rFonts w:eastAsia="方正仿宋_GBK"/>
          <w:sz w:val="36"/>
          <w:szCs w:val="36"/>
        </w:rPr>
        <w:t>、</w:t>
      </w:r>
      <w:r>
        <w:rPr>
          <w:rFonts w:eastAsia="方正仿宋_GBK" w:hint="eastAsia"/>
          <w:spacing w:val="-10"/>
          <w:sz w:val="36"/>
          <w:szCs w:val="36"/>
        </w:rPr>
        <w:t>一般公共预算财政拨款支出决算情况说明</w:t>
      </w:r>
      <w:r>
        <w:rPr>
          <w:rFonts w:eastAsia="方正黑体_GBK"/>
          <w:sz w:val="36"/>
          <w:szCs w:val="36"/>
        </w:rPr>
        <w:t>..................14</w:t>
      </w:r>
      <w:r>
        <w:rPr>
          <w:rFonts w:eastAsia="方正仿宋_GBK" w:hint="eastAsia"/>
          <w:spacing w:val="-10"/>
          <w:sz w:val="36"/>
          <w:szCs w:val="36"/>
        </w:rPr>
        <w:t>六</w:t>
      </w:r>
      <w:r>
        <w:rPr>
          <w:rFonts w:eastAsia="方正仿宋_GBK"/>
          <w:spacing w:val="-10"/>
          <w:sz w:val="36"/>
          <w:szCs w:val="36"/>
        </w:rPr>
        <w:t>、</w:t>
      </w:r>
      <w:r>
        <w:rPr>
          <w:rFonts w:eastAsia="方正仿宋_GBK" w:hint="eastAsia"/>
          <w:spacing w:val="-20"/>
          <w:sz w:val="36"/>
          <w:szCs w:val="36"/>
        </w:rPr>
        <w:t>一般公共预算财政拨款基本支出决算情况说明</w:t>
      </w:r>
      <w:r>
        <w:rPr>
          <w:rFonts w:eastAsia="方正黑体_GBK"/>
          <w:sz w:val="36"/>
          <w:szCs w:val="36"/>
        </w:rPr>
        <w:t>...............15</w:t>
      </w:r>
      <w:r>
        <w:rPr>
          <w:rFonts w:eastAsia="方正仿宋_GBK" w:hint="eastAsia"/>
          <w:sz w:val="36"/>
          <w:szCs w:val="36"/>
        </w:rPr>
        <w:t>七</w:t>
      </w:r>
      <w:r>
        <w:rPr>
          <w:rFonts w:eastAsia="方正仿宋_GBK"/>
          <w:sz w:val="36"/>
          <w:szCs w:val="36"/>
        </w:rPr>
        <w:t>、</w:t>
      </w:r>
      <w:r>
        <w:rPr>
          <w:rFonts w:eastAsia="方正仿宋_GBK" w:hint="eastAsia"/>
          <w:spacing w:val="-40"/>
          <w:sz w:val="36"/>
          <w:szCs w:val="36"/>
        </w:rPr>
        <w:t>一般公共预算财政拨款“三公”经费支出决算情况说明</w:t>
      </w:r>
      <w:r>
        <w:rPr>
          <w:rFonts w:eastAsia="方正黑体_GBK"/>
          <w:sz w:val="36"/>
          <w:szCs w:val="36"/>
        </w:rPr>
        <w:t>...........15</w:t>
      </w:r>
      <w:r>
        <w:rPr>
          <w:rFonts w:eastAsia="方正仿宋_GBK" w:hint="eastAsia"/>
          <w:sz w:val="36"/>
          <w:szCs w:val="36"/>
        </w:rPr>
        <w:t>八</w:t>
      </w:r>
      <w:r>
        <w:rPr>
          <w:rFonts w:eastAsia="方正仿宋_GBK"/>
          <w:sz w:val="36"/>
          <w:szCs w:val="36"/>
        </w:rPr>
        <w:t>、</w:t>
      </w:r>
      <w:r>
        <w:rPr>
          <w:rFonts w:eastAsia="方正仿宋_GBK" w:hint="eastAsia"/>
          <w:sz w:val="36"/>
          <w:szCs w:val="36"/>
        </w:rPr>
        <w:t>机关运行经费支出说明</w:t>
      </w:r>
      <w:r>
        <w:rPr>
          <w:rFonts w:eastAsia="方正黑体_GBK"/>
          <w:sz w:val="36"/>
          <w:szCs w:val="36"/>
        </w:rPr>
        <w:t>..............................................16</w:t>
      </w:r>
      <w:r>
        <w:rPr>
          <w:rFonts w:eastAsia="方正仿宋_GBK" w:hint="eastAsia"/>
          <w:sz w:val="36"/>
          <w:szCs w:val="36"/>
        </w:rPr>
        <w:t>九</w:t>
      </w:r>
      <w:r>
        <w:rPr>
          <w:rFonts w:eastAsia="方正仿宋_GBK"/>
          <w:sz w:val="36"/>
          <w:szCs w:val="36"/>
        </w:rPr>
        <w:t>、</w:t>
      </w:r>
      <w:r>
        <w:rPr>
          <w:rFonts w:eastAsia="方正仿宋_GBK" w:hint="eastAsia"/>
          <w:sz w:val="36"/>
          <w:szCs w:val="36"/>
        </w:rPr>
        <w:t>政府采购支出说明</w:t>
      </w:r>
      <w:r>
        <w:rPr>
          <w:rFonts w:eastAsia="方正黑体_GBK"/>
          <w:sz w:val="36"/>
          <w:szCs w:val="36"/>
        </w:rPr>
        <w:t>......................................................16</w:t>
      </w:r>
      <w:r>
        <w:rPr>
          <w:rFonts w:eastAsia="方正仿宋_GBK" w:hint="eastAsia"/>
          <w:sz w:val="36"/>
          <w:szCs w:val="36"/>
        </w:rPr>
        <w:t>十</w:t>
      </w:r>
      <w:r>
        <w:rPr>
          <w:rFonts w:eastAsia="方正仿宋_GBK"/>
          <w:sz w:val="36"/>
          <w:szCs w:val="36"/>
        </w:rPr>
        <w:t>、</w:t>
      </w:r>
      <w:r>
        <w:rPr>
          <w:rFonts w:eastAsia="方正仿宋_GBK" w:hint="eastAsia"/>
          <w:sz w:val="36"/>
          <w:szCs w:val="36"/>
        </w:rPr>
        <w:t>国有资产占用情况说明</w:t>
      </w:r>
      <w:r>
        <w:rPr>
          <w:rFonts w:eastAsia="方正黑体_GBK"/>
          <w:sz w:val="36"/>
          <w:szCs w:val="36"/>
        </w:rPr>
        <w:t>..............................................16</w:t>
      </w:r>
      <w:r>
        <w:rPr>
          <w:rFonts w:eastAsia="方正仿宋_GBK" w:hint="eastAsia"/>
          <w:sz w:val="36"/>
          <w:szCs w:val="36"/>
        </w:rPr>
        <w:t>十一</w:t>
      </w:r>
      <w:r>
        <w:rPr>
          <w:rFonts w:eastAsia="方正仿宋_GBK"/>
          <w:sz w:val="36"/>
          <w:szCs w:val="36"/>
        </w:rPr>
        <w:t>、</w:t>
      </w:r>
      <w:r>
        <w:rPr>
          <w:rFonts w:eastAsia="方正仿宋_GBK" w:hint="eastAsia"/>
          <w:sz w:val="36"/>
          <w:szCs w:val="36"/>
        </w:rPr>
        <w:t>预算绩效情况说明</w:t>
      </w:r>
      <w:r>
        <w:rPr>
          <w:rFonts w:eastAsia="方正黑体_GBK"/>
          <w:sz w:val="36"/>
          <w:szCs w:val="36"/>
        </w:rPr>
        <w:t xml:space="preserve">..................................................16第四部分 </w:t>
      </w:r>
      <w:r>
        <w:rPr>
          <w:rFonts w:ascii="方正黑体_GBK" w:eastAsia="方正黑体_GBK" w:hint="eastAsia"/>
          <w:sz w:val="36"/>
          <w:szCs w:val="36"/>
        </w:rPr>
        <w:t>名词解释</w:t>
      </w:r>
      <w:r>
        <w:rPr>
          <w:rFonts w:eastAsia="方正黑体_GBK"/>
          <w:sz w:val="36"/>
          <w:szCs w:val="36"/>
        </w:rPr>
        <w:t>..........................................................21</w:t>
      </w:r>
    </w:p>
    <w:p>
      <w:pPr>
        <w:autoSpaceDN w:val="0"/>
        <w:spacing w:line="500" w:lineRule="exact"/>
        <w:ind w:leftChars="158" w:left="332"/>
        <w:rPr>
          <w:rFonts w:eastAsia="方正黑体_GBK"/>
          <w:color w:val="FFFFFF"/>
          <w:sz w:val="36"/>
          <w:szCs w:val="36"/>
        </w:rPr>
      </w:pPr>
    </w:p>
    <w:p>
      <w:pPr>
        <w:autoSpaceDN w:val="0"/>
        <w:spacing w:line="560" w:lineRule="exact"/>
        <w:ind w:firstLineChars="200" w:firstLine="640"/>
        <w:rPr>
          <w:rFonts w:ascii="方正楷体_GBK" w:eastAsia="方正楷体_GBK"/>
          <w:b/>
          <w:bCs/>
          <w:color w:val="FFFFFF"/>
          <w:sz w:val="32"/>
          <w:szCs w:val="32"/>
        </w:rPr>
      </w:pPr>
    </w:p>
    <w:p>
      <w:pPr>
        <w:autoSpaceDN w:val="0"/>
        <w:spacing w:line="560" w:lineRule="exact"/>
        <w:ind w:firstLineChars="200" w:firstLine="640"/>
        <w:rPr>
          <w:rFonts w:ascii="方正楷体_GBK" w:eastAsia="方正楷体_GBK"/>
          <w:b/>
          <w:bCs/>
          <w:color w:val="FFFFFF"/>
          <w:sz w:val="32"/>
          <w:szCs w:val="32"/>
        </w:rPr>
      </w:pPr>
    </w:p>
    <w:p>
      <w:pPr>
        <w:autoSpaceDN w:val="0"/>
        <w:spacing w:line="560" w:lineRule="exact"/>
        <w:ind w:firstLineChars="200" w:firstLine="640"/>
        <w:rPr>
          <w:rFonts w:ascii="方正楷体_GBK" w:eastAsia="方正楷体_GBK"/>
          <w:b/>
          <w:bCs/>
          <w:color w:val="FFFFFF"/>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800" w:lineRule="exact"/>
        <w:jc w:val="center"/>
        <w:rPr>
          <w:rFonts w:ascii="方正楷体_GBK" w:eastAsia="方正楷体_GBK"/>
          <w:b/>
          <w:bCs/>
          <w:sz w:val="52"/>
          <w:szCs w:val="52"/>
        </w:rPr>
      </w:pPr>
      <w:r>
        <w:rPr>
          <w:rFonts w:ascii="方正黑体_GBK" w:eastAsia="方正黑体_GBK" w:hint="eastAsia"/>
          <w:sz w:val="72"/>
          <w:szCs w:val="72"/>
        </w:rPr>
        <w:t>第一部分 重庆港海关概况</w:t>
      </w: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r>
        <w:rPr>
          <w:rFonts w:ascii="方正黑体_GBK" w:eastAsia="方正黑体_GBK" w:hint="eastAsia"/>
          <w:sz w:val="32"/>
          <w:szCs w:val="32"/>
        </w:rPr>
        <w:t>一、部门职责</w:t>
      </w:r>
    </w:p>
    <w:p>
      <w:pPr>
        <w:autoSpaceDN w:val="0"/>
        <w:spacing w:line="560" w:lineRule="exact"/>
        <w:ind w:firstLineChars="200" w:firstLine="624"/>
        <w:rPr>
          <w:rFonts w:ascii="方正楷体_GBK" w:eastAsia="方正楷体_GBK"/>
          <w:b/>
          <w:bCs/>
          <w:sz w:val="32"/>
          <w:szCs w:val="32"/>
        </w:rPr>
      </w:pPr>
      <w:r>
        <w:rPr>
          <w:rFonts w:ascii="方正仿宋_GBK" w:eastAsia="方正仿宋_GBK" w:cs="方正仿宋_GBK" w:hint="eastAsia"/>
          <w:spacing w:val="-4"/>
          <w:sz w:val="32"/>
          <w:szCs w:val="32"/>
        </w:rPr>
        <w:t>重庆港海关隶属于重庆海关。主要负责重庆果园、玖龙等口岸码头监管业务。</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1.监控研判本关各类执法风险、管理风险和廉政风险并组织防范和化解，负责党的基层组织建设、干部队伍建设、财务管理等日常管理工作。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2.承担辖区进出境运输工具、货物、物品、动植物及其产品、食品、化妆品的单证审核、税收征管等海关现场综合业务工作。</w:t>
      </w:r>
    </w:p>
    <w:p>
      <w:pPr>
        <w:snapToGrid w:val="0"/>
        <w:spacing w:line="560" w:lineRule="exact"/>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3.承担本口岸进出境运输工具、货物、物品、动植物及其产品、食品和化妆品的海关查验、检验、检疫工作。</w:t>
      </w:r>
    </w:p>
    <w:p>
      <w:pPr>
        <w:snapToGrid w:val="0"/>
        <w:spacing w:line="560" w:lineRule="exact"/>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4.承担本口岸的物流监管。</w:t>
      </w:r>
    </w:p>
    <w:p>
      <w:pPr>
        <w:snapToGrid w:val="0"/>
        <w:spacing w:line="560" w:lineRule="exact"/>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5.承担本口岸海关监管作业场所（场地）、专业类场所（场地）的实际监管。</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6.承担本口岸行政处罚简易程序案件、简单案件。</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7.承办本口岸自贸试验区的相关工作。</w:t>
      </w:r>
    </w:p>
    <w:p>
      <w:pPr>
        <w:snapToGrid w:val="0"/>
        <w:spacing w:line="560" w:lineRule="exact"/>
        <w:ind w:firstLineChars="200" w:firstLine="640"/>
        <w:rPr>
          <w:rFonts w:ascii="方正仿宋_GBK" w:eastAsia="方正仿宋_GBK"/>
          <w:spacing w:val="-6"/>
          <w:sz w:val="32"/>
          <w:szCs w:val="32"/>
        </w:rPr>
      </w:pPr>
      <w:r>
        <w:rPr>
          <w:rFonts w:ascii="方正仿宋_GBK" w:eastAsia="方正仿宋_GBK" w:cs="方正仿宋_GBK" w:hint="eastAsia"/>
          <w:sz w:val="32"/>
          <w:szCs w:val="32"/>
        </w:rPr>
        <w:t>8.</w:t>
      </w:r>
      <w:r>
        <w:rPr>
          <w:rFonts w:ascii="方正仿宋_GBK" w:eastAsia="方正仿宋_GBK" w:cs="方正仿宋_GBK" w:hint="eastAsia"/>
          <w:spacing w:val="-6"/>
          <w:sz w:val="32"/>
          <w:szCs w:val="32"/>
        </w:rPr>
        <w:t>承办重庆海关交办的其他工作，反馈执法作业结果。</w:t>
      </w: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二、机构设置</w:t>
      </w:r>
    </w:p>
    <w:p>
      <w:pPr>
        <w:spacing w:line="560" w:lineRule="exact"/>
        <w:ind w:firstLineChars="200" w:firstLine="600"/>
        <w:rPr>
          <w:rFonts w:eastAsia="方正仿宋_GBK"/>
          <w:spacing w:val="-10"/>
          <w:sz w:val="32"/>
          <w:szCs w:val="32"/>
        </w:rPr>
      </w:pPr>
      <w:r>
        <w:rPr>
          <w:rFonts w:eastAsia="方正仿宋_GBK" w:hint="eastAsia"/>
          <w:spacing w:val="-10"/>
          <w:sz w:val="32"/>
          <w:szCs w:val="32"/>
        </w:rPr>
        <w:t>重庆港海关内设科室：办公室（党委组织宣传部）、综合业务科、货物查验科、物流管理科、业务运行监控科、集中审像科。</w:t>
      </w:r>
    </w:p>
    <w:p>
      <w:pPr>
        <w:spacing w:line="560" w:lineRule="exact"/>
        <w:ind w:firstLineChars="200" w:firstLine="640"/>
        <w:rPr>
          <w:rFonts w:eastAsia="方正仿宋_GBK"/>
          <w:sz w:val="32"/>
          <w:szCs w:val="32"/>
        </w:rPr>
      </w:pPr>
      <w:r>
        <w:rPr>
          <w:rFonts w:eastAsia="方正仿宋_GBK" w:hint="eastAsia"/>
          <w:sz w:val="32"/>
          <w:szCs w:val="32"/>
        </w:rPr>
        <w:t>纳入</w:t>
      </w:r>
      <w:r>
        <w:rPr>
          <w:rFonts w:eastAsia="方正仿宋_GBK"/>
          <w:sz w:val="32"/>
          <w:szCs w:val="32"/>
        </w:rPr>
        <w:t>重庆港</w:t>
      </w:r>
      <w:r>
        <w:rPr>
          <w:rFonts w:eastAsia="方正仿宋_GBK" w:hint="eastAsia"/>
          <w:sz w:val="32"/>
          <w:szCs w:val="32"/>
        </w:rPr>
        <w:t>海关</w:t>
      </w:r>
      <w:r>
        <w:rPr>
          <w:rFonts w:eastAsia="方正仿宋_GBK"/>
          <w:sz w:val="32"/>
          <w:szCs w:val="32"/>
        </w:rPr>
        <w:t>20</w:t>
      </w:r>
      <w:r>
        <w:rPr>
          <w:rFonts w:eastAsia="方正仿宋_GBK" w:hint="eastAsia"/>
          <w:sz w:val="32"/>
          <w:szCs w:val="32"/>
        </w:rPr>
        <w:t>22年部门决算编制范围的单位</w:t>
      </w:r>
      <w:r>
        <w:rPr>
          <w:rFonts w:eastAsia="方正仿宋_GBK"/>
          <w:sz w:val="32"/>
          <w:szCs w:val="32"/>
        </w:rPr>
        <w:t>（含独立编报部门决算的单户）</w:t>
      </w:r>
      <w:r>
        <w:rPr>
          <w:rFonts w:eastAsia="方正仿宋_GBK" w:hint="eastAsia"/>
          <w:sz w:val="32"/>
          <w:szCs w:val="32"/>
        </w:rPr>
        <w:t>详细情况见下表：</w:t>
      </w:r>
    </w:p>
    <w:tbl>
      <w:tblPr>
        <w:tblpPr w:leftFromText="180" w:rightFromText="180" w:vertAnchor="text" w:horzAnchor="margin" w:tblpXSpec="center" w:tblpY="430"/>
        <w:tblOverlap w:val="never"/>
        <w:tblW w:w="8295"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613"/>
        <w:gridCol w:w="6682"/>
      </w:tblGrid>
      <w:tr>
        <w:trPr>
          <w:trHeight w:val="423"/>
        </w:trPr>
        <w:tc>
          <w:tcPr>
            <w:tcW w:w="1613" w:type="dxa"/>
            <w:tcBorders>
              <w:top w:val="single" w:sz="6" w:space="0" w:color="auto"/>
              <w:left w:val="single" w:sz="6" w:space="0" w:color="auto"/>
              <w:bottom w:val="single" w:sz="6" w:space="0" w:color="auto"/>
              <w:right w:val="single" w:sz="6" w:space="0" w:color="auto"/>
            </w:tcBorders>
            <w:shd w:val="clear" w:color="auto" w:fill="auto"/>
            <w:vAlign w:val="center"/>
          </w:tcPr>
          <w:p>
            <w:pPr>
              <w:widowControl/>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序 号</w:t>
            </w:r>
          </w:p>
        </w:tc>
        <w:tc>
          <w:tcPr>
            <w:tcW w:w="6682" w:type="dxa"/>
            <w:tcBorders>
              <w:top w:val="single" w:sz="6" w:space="0" w:color="auto"/>
              <w:left w:val="single" w:sz="6" w:space="0" w:color="auto"/>
              <w:bottom w:val="single" w:sz="6" w:space="0" w:color="auto"/>
              <w:right w:val="single" w:sz="6" w:space="0" w:color="auto"/>
            </w:tcBorders>
            <w:shd w:val="clear" w:color="auto" w:fill="auto"/>
            <w:vAlign w:val="center"/>
          </w:tcPr>
          <w:p>
            <w:pPr>
              <w:widowControl/>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单位名称</w:t>
            </w:r>
          </w:p>
        </w:tc>
      </w:tr>
      <w:tr>
        <w:trPr>
          <w:trHeight w:val="519"/>
        </w:trPr>
        <w:tc>
          <w:tcPr>
            <w:tcW w:w="1613" w:type="dxa"/>
            <w:tcBorders>
              <w:top w:val="single" w:sz="6" w:space="0" w:color="auto"/>
              <w:left w:val="single" w:sz="6" w:space="0" w:color="auto"/>
              <w:bottom w:val="single" w:sz="6" w:space="0" w:color="auto"/>
              <w:right w:val="single" w:sz="6" w:space="0" w:color="auto"/>
            </w:tcBorders>
            <w:noWrap/>
            <w:vAlign w:val="center"/>
          </w:tcPr>
          <w:p>
            <w:pPr>
              <w:widowControl/>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1</w:t>
            </w:r>
          </w:p>
        </w:tc>
        <w:tc>
          <w:tcPr>
            <w:tcW w:w="6682" w:type="dxa"/>
            <w:tcBorders>
              <w:top w:val="single" w:sz="6" w:space="0" w:color="auto"/>
              <w:left w:val="single" w:sz="6" w:space="0" w:color="auto"/>
              <w:bottom w:val="single" w:sz="6" w:space="0" w:color="auto"/>
              <w:right w:val="single" w:sz="6" w:space="0" w:color="auto"/>
            </w:tcBorders>
            <w:noWrap/>
            <w:vAlign w:val="center"/>
          </w:tcPr>
          <w:p>
            <w:pPr>
              <w:widowControl/>
              <w:jc w:val="center"/>
              <w:rPr>
                <w:rFonts w:ascii="方正仿宋_GBK" w:eastAsia="方正仿宋_GBK" w:cs="Arial"/>
                <w:color w:val="000000"/>
                <w:kern w:val="0"/>
                <w:sz w:val="32"/>
                <w:szCs w:val="32"/>
              </w:rPr>
            </w:pPr>
            <w:r>
              <w:rPr>
                <w:rFonts w:ascii="方正仿宋_GBK" w:eastAsia="方正仿宋_GBK" w:hint="eastAsia"/>
                <w:color w:val="000000"/>
                <w:sz w:val="32"/>
                <w:szCs w:val="32"/>
              </w:rPr>
              <w:t>重庆港海关</w:t>
            </w:r>
          </w:p>
        </w:tc>
      </w:tr>
    </w:tbl>
    <w:p>
      <w:pPr>
        <w:widowControl/>
        <w:autoSpaceDN w:val="0"/>
        <w:jc w:val="left"/>
        <w:rPr>
          <w:rFonts w:ascii="方正仿宋_GBK" w:eastAsia="方正仿宋_GBK"/>
          <w:sz w:val="32"/>
          <w:szCs w:val="32"/>
        </w:rPr>
        <w:sectPr>
          <w:footerReference w:type="default" r:id="rId2"/>
          <w:footerReference w:type="even" r:id="rId3"/>
          <w:pgSz w:w="11907" w:h="16840"/>
          <w:pgMar w:top="1134" w:right="1440" w:bottom="1134" w:left="1440" w:header="851" w:footer="992" w:gutter="0"/>
          <w:docGrid w:type="lines" w:linePitch="312" w:charSpace="0"/>
        </w:sectPr>
      </w:pPr>
    </w:p>
    <w:p>
      <w:pPr>
        <w:rPr>
          <w:rFonts w:ascii="方正黑体_GBK" w:eastAsia="方正黑体_GBK" w:cs="Arial"/>
          <w:color w:val="000000"/>
          <w:kern w:val="0"/>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jc w:val="center"/>
        <w:rPr>
          <w:rFonts w:ascii="方正黑体_GBK" w:eastAsia="方正黑体_GBK" w:cs="Arial"/>
          <w:color w:val="000000"/>
          <w:kern w:val="0"/>
          <w:sz w:val="72"/>
          <w:szCs w:val="72"/>
        </w:rPr>
      </w:pPr>
      <w:r>
        <w:rPr>
          <w:rFonts w:ascii="方正黑体_GBK" w:eastAsia="方正黑体_GBK" w:cs="Arial" w:hint="eastAsia"/>
          <w:color w:val="000000"/>
          <w:kern w:val="0"/>
          <w:sz w:val="72"/>
          <w:szCs w:val="72"/>
        </w:rPr>
        <w:t xml:space="preserve">第二部分 </w:t>
      </w:r>
    </w:p>
    <w:p>
      <w:pPr>
        <w:jc w:val="center"/>
        <w:rPr>
          <w:rFonts w:ascii="方正黑体_GBK" w:eastAsia="方正黑体_GBK"/>
          <w:sz w:val="72"/>
          <w:szCs w:val="72"/>
        </w:rPr>
      </w:pPr>
      <w:r>
        <w:rPr>
          <w:rFonts w:ascii="方正黑体_GBK" w:eastAsia="方正黑体_GBK" w:cs="Arial" w:hint="eastAsia"/>
          <w:color w:val="000000"/>
          <w:kern w:val="0"/>
          <w:sz w:val="72"/>
          <w:szCs w:val="72"/>
        </w:rPr>
        <w:t>2022年度部门决算表</w:t>
      </w: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tbl>
      <w:tblPr>
        <w:tblpPr w:leftFromText="180" w:rightFromText="180" w:vertAnchor="text" w:horzAnchor="page" w:tblpX="1191" w:tblpY="337"/>
        <w:tblOverlap w:val="never"/>
        <w:tblW w:w="9537"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254"/>
        <w:gridCol w:w="703"/>
        <w:gridCol w:w="1260"/>
        <w:gridCol w:w="2340"/>
        <w:gridCol w:w="720"/>
        <w:gridCol w:w="1260"/>
      </w:tblGrid>
      <w:tr>
        <w:trPr>
          <w:trHeight w:val="462"/>
        </w:trPr>
        <w:tc>
          <w:tcPr>
            <w:tcW w:w="9537" w:type="dxa"/>
            <w:gridSpan w:val="6"/>
            <w:tcBorders>
              <w:top w:val="nil"/>
              <w:left w:val="nil"/>
              <w:bottom w:val="nil"/>
              <w:right w:val="nil"/>
            </w:tcBorders>
            <w:shd w:val="clear" w:color="auto" w:fill="auto"/>
            <w:noWrap/>
            <w:vAlign w:val="bottom"/>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收入支出决算总表</w:t>
            </w:r>
          </w:p>
        </w:tc>
      </w:tr>
      <w:tr>
        <w:trPr>
          <w:trHeight w:val="255"/>
        </w:trPr>
        <w:tc>
          <w:tcPr>
            <w:tcW w:w="325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公开01表</w:t>
            </w:r>
          </w:p>
        </w:tc>
      </w:tr>
      <w:tr>
        <w:trPr>
          <w:trHeight w:val="255"/>
        </w:trPr>
        <w:tc>
          <w:tcPr>
            <w:tcW w:w="3254" w:type="dxa"/>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7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0"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489"/>
        </w:trPr>
        <w:tc>
          <w:tcPr>
            <w:tcW w:w="5217" w:type="dxa"/>
            <w:gridSpan w:val="3"/>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4320" w:type="dxa"/>
            <w:gridSpan w:val="3"/>
            <w:tcBorders>
              <w:top w:val="single" w:sz="6" w:space="0" w:color="000000"/>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支出</w:t>
            </w:r>
          </w:p>
        </w:tc>
      </w:tr>
      <w:tr>
        <w:trPr>
          <w:trHeight w:val="315"/>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r>
      <w:tr>
        <w:trPr>
          <w:trHeight w:val="315"/>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一、一般公共预算财政拨款收入</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580.70</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1036.61</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二、其他收入</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1302.67</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ascii="宋体" w:cs="Arial"/>
                <w:color w:val="000000"/>
                <w:kern w:val="0"/>
                <w:sz w:val="22"/>
                <w:szCs w:val="22"/>
              </w:rPr>
            </w:pP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b/>
                <w:bCs/>
                <w:color w:val="000000"/>
                <w:sz w:val="22"/>
                <w:szCs w:val="22"/>
              </w:rPr>
              <w:t>1</w:t>
            </w:r>
            <w:r>
              <w:rPr>
                <w:rFonts w:cs="Arial" w:hint="eastAsia"/>
                <w:b/>
                <w:bCs/>
                <w:color w:val="000000"/>
                <w:sz w:val="22"/>
                <w:szCs w:val="22"/>
              </w:rPr>
              <w:t>883.37</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1036.61</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使用非财政拨款结余</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0.00</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结余分配</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0.00</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年初结转和结余</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401.21</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年末结转和结余</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color w:val="000000"/>
                <w:sz w:val="22"/>
                <w:szCs w:val="22"/>
              </w:rPr>
              <w:t>1</w:t>
            </w:r>
            <w:r>
              <w:rPr>
                <w:rFonts w:cs="Arial" w:hint="eastAsia"/>
                <w:color w:val="000000"/>
                <w:sz w:val="22"/>
                <w:szCs w:val="22"/>
              </w:rPr>
              <w:t>247.96</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2284.58</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2284.58</w:t>
            </w:r>
          </w:p>
        </w:tc>
      </w:tr>
      <w:tr>
        <w:trPr>
          <w:trHeight w:val="315"/>
        </w:trPr>
        <w:tc>
          <w:tcPr>
            <w:tcW w:w="9537" w:type="dxa"/>
            <w:gridSpan w:val="6"/>
            <w:tcBorders>
              <w:top w:val="single" w:sz="6" w:space="0" w:color="000000"/>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注：本表反映部门本年度的总收支和年末结转结余情况。</w:t>
            </w:r>
          </w:p>
          <w:p>
            <w:pPr>
              <w:widowControl/>
              <w:ind w:firstLineChars="200" w:firstLine="440"/>
              <w:jc w:val="left"/>
              <w:rPr>
                <w:rFonts w:ascii="宋体" w:cs="Arial"/>
                <w:color w:val="000000"/>
                <w:kern w:val="0"/>
                <w:sz w:val="22"/>
                <w:szCs w:val="22"/>
              </w:rPr>
            </w:pPr>
            <w:r>
              <w:rPr>
                <w:rFonts w:ascii="宋体" w:cs="Arial" w:hint="eastAsia"/>
                <w:color w:val="000000"/>
                <w:kern w:val="0"/>
                <w:sz w:val="22"/>
                <w:szCs w:val="22"/>
              </w:rPr>
              <w:t>本套报表金额单位转换时可能存在尾数误差。</w:t>
            </w:r>
          </w:p>
        </w:tc>
      </w:tr>
    </w:tbl>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tbl>
      <w:tblPr>
        <w:jc w:val="left"/>
        <w:tblInd w:w="110" w:type="dxa"/>
        <w:tblW w:w="4965" w:type="pct"/>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307"/>
        <w:gridCol w:w="324"/>
        <w:gridCol w:w="626"/>
        <w:gridCol w:w="1980"/>
        <w:gridCol w:w="1260"/>
        <w:gridCol w:w="1079"/>
        <w:gridCol w:w="540"/>
        <w:gridCol w:w="540"/>
        <w:gridCol w:w="540"/>
        <w:gridCol w:w="716"/>
        <w:gridCol w:w="1266"/>
      </w:tblGrid>
      <w:tr>
        <w:trPr>
          <w:trHeight w:val="618"/>
        </w:trPr>
        <w:tc>
          <w:tcPr>
            <w:tcW w:w="9178" w:type="dxa"/>
            <w:gridSpan w:val="11"/>
            <w:tcBorders>
              <w:top w:val="nil"/>
              <w:left w:val="nil"/>
              <w:bottom w:val="nil"/>
              <w:right w:val="nil"/>
            </w:tcBorders>
            <w:shd w:val="clear" w:color="auto" w:fill="auto"/>
            <w:noWrap/>
            <w:vAlign w:val="bottom"/>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收入决算表</w:t>
            </w:r>
          </w:p>
        </w:tc>
      </w:tr>
      <w:tr>
        <w:trPr>
          <w:trHeight w:val="255"/>
        </w:trPr>
        <w:tc>
          <w:tcPr>
            <w:tcW w:w="307"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2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7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1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6"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公开02表</w:t>
            </w:r>
          </w:p>
        </w:tc>
      </w:tr>
      <w:tr>
        <w:trPr>
          <w:trHeight w:val="198"/>
        </w:trPr>
        <w:tc>
          <w:tcPr>
            <w:tcW w:w="3237"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2"/>
                <w:szCs w:val="22"/>
              </w:rPr>
            </w:pPr>
            <w:r>
              <w:rPr>
                <w:rFonts w:ascii="宋体" w:cs="Arial" w:hint="eastAsia"/>
                <w:color w:val="000000"/>
                <w:kern w:val="0"/>
                <w:sz w:val="22"/>
                <w:szCs w:val="22"/>
              </w:rPr>
              <w:t>单位：</w:t>
            </w:r>
            <w:r>
              <w:rPr>
                <w:rFonts w:ascii="宋体" w:cs="Arial" w:hint="eastAsia"/>
                <w:color w:val="000000"/>
                <w:kern w:val="0"/>
                <w:sz w:val="20"/>
                <w:szCs w:val="20"/>
              </w:rPr>
              <w:t>重庆港海关</w:t>
            </w: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7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2"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1278"/>
        </w:trPr>
        <w:tc>
          <w:tcPr>
            <w:tcW w:w="3237"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26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w:t>
            </w:r>
          </w:p>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079"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财政拨</w:t>
            </w:r>
          </w:p>
          <w:p>
            <w:pPr>
              <w:widowControl/>
              <w:jc w:val="center"/>
              <w:rPr>
                <w:rFonts w:ascii="宋体" w:cs="Arial"/>
                <w:color w:val="000000"/>
                <w:kern w:val="0"/>
                <w:sz w:val="22"/>
                <w:szCs w:val="22"/>
              </w:rPr>
            </w:pPr>
            <w:r>
              <w:rPr>
                <w:rFonts w:ascii="宋体" w:cs="Arial" w:hint="eastAsia"/>
                <w:color w:val="000000"/>
                <w:kern w:val="0"/>
                <w:sz w:val="22"/>
                <w:szCs w:val="22"/>
              </w:rPr>
              <w:t>款收入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上级补助收入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事业收入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经营收入</w:t>
            </w:r>
          </w:p>
        </w:tc>
        <w:tc>
          <w:tcPr>
            <w:tcW w:w="716"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附属单位上缴收入</w:t>
            </w:r>
          </w:p>
        </w:tc>
        <w:tc>
          <w:tcPr>
            <w:tcW w:w="1266"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其他收入</w:t>
            </w:r>
          </w:p>
        </w:tc>
      </w:tr>
      <w:tr>
        <w:trPr>
          <w:trHeight w:val="724"/>
        </w:trPr>
        <w:tc>
          <w:tcPr>
            <w:tcW w:w="1257" w:type="dxa"/>
            <w:gridSpan w:val="3"/>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198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60" w:type="dxa"/>
            <w:vMerge/>
            <w:tcBorders>
              <w:top w:val="single" w:sz="6" w:space="0" w:color="000000"/>
              <w:left w:val="nil"/>
              <w:bottom w:val="single" w:sz="6" w:space="0" w:color="000000"/>
              <w:right w:val="single" w:sz="6" w:space="0" w:color="000000"/>
            </w:tcBorders>
            <w:vAlign w:val="center"/>
          </w:tcPr>
          <w:p/>
        </w:tc>
        <w:tc>
          <w:tcPr>
            <w:tcW w:w="1079"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716" w:type="dxa"/>
            <w:vMerge/>
            <w:tcBorders>
              <w:top w:val="single" w:sz="6" w:space="0" w:color="000000"/>
              <w:left w:val="nil"/>
              <w:bottom w:val="single" w:sz="6" w:space="0" w:color="000000"/>
              <w:right w:val="single" w:sz="6" w:space="0" w:color="000000"/>
            </w:tcBorders>
            <w:vAlign w:val="center"/>
          </w:tcPr>
          <w:p/>
        </w:tc>
        <w:tc>
          <w:tcPr>
            <w:tcW w:w="1266" w:type="dxa"/>
            <w:vMerge/>
            <w:tcBorders>
              <w:top w:val="single" w:sz="6" w:space="0" w:color="000000"/>
              <w:left w:val="nil"/>
              <w:bottom w:val="single" w:sz="6" w:space="0" w:color="000000"/>
              <w:right w:val="single" w:sz="6" w:space="0" w:color="000000"/>
            </w:tcBorders>
            <w:shd w:val="clear" w:color="auto" w:fill="CCCCCC"/>
            <w:vAlign w:val="center"/>
          </w:tcPr>
          <w:p/>
        </w:tc>
      </w:tr>
      <w:tr>
        <w:trPr>
          <w:trHeight w:val="315"/>
        </w:trPr>
        <w:tc>
          <w:tcPr>
            <w:tcW w:w="3237"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26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07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716"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266" w:type="dxa"/>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r>
      <w:tr>
        <w:trPr>
          <w:trHeight w:val="315"/>
        </w:trPr>
        <w:tc>
          <w:tcPr>
            <w:tcW w:w="3237"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b/>
                <w:bCs/>
                <w:color w:val="000000"/>
                <w:kern w:val="0"/>
                <w:sz w:val="22"/>
                <w:szCs w:val="22"/>
              </w:rPr>
              <w:t>1</w:t>
            </w:r>
            <w:r>
              <w:rPr>
                <w:rFonts w:hint="eastAsia"/>
                <w:b/>
                <w:bCs/>
                <w:color w:val="000000"/>
                <w:kern w:val="0"/>
                <w:sz w:val="22"/>
                <w:szCs w:val="22"/>
              </w:rPr>
              <w:t>883.37</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580.70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1266" w:type="dxa"/>
            <w:tcBorders>
              <w:top w:val="single" w:sz="6" w:space="0" w:color="000000"/>
              <w:left w:val="nil"/>
              <w:bottom w:val="single" w:sz="6" w:space="0" w:color="000000"/>
              <w:right w:val="single" w:sz="6" w:space="0" w:color="000000"/>
            </w:tcBorders>
            <w:vAlign w:val="center"/>
          </w:tcPr>
          <w:p>
            <w:pPr>
              <w:widowControl/>
              <w:jc w:val="right"/>
              <w:rPr>
                <w:rFonts w:ascii="宋体" w:cs="Arial"/>
                <w:color w:val="000000"/>
                <w:kern w:val="0"/>
                <w:sz w:val="22"/>
                <w:szCs w:val="22"/>
              </w:rPr>
            </w:pPr>
            <w:r>
              <w:rPr>
                <w:rFonts w:hint="eastAsia"/>
                <w:b/>
                <w:bCs/>
                <w:color w:val="000000"/>
                <w:kern w:val="0"/>
                <w:sz w:val="22"/>
                <w:szCs w:val="22"/>
              </w:rPr>
              <w:t>1302.67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1</w:t>
            </w:r>
            <w:r>
              <w:rPr>
                <w:rFonts w:hint="eastAsia"/>
                <w:color w:val="000000"/>
                <w:kern w:val="0"/>
                <w:sz w:val="22"/>
                <w:szCs w:val="22"/>
              </w:rPr>
              <w:t>883.37</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580.70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1302.67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126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sz w:val="22"/>
                <w:szCs w:val="22"/>
              </w:rPr>
              <w:t>1</w:t>
            </w:r>
            <w:r>
              <w:rPr>
                <w:rFonts w:hint="eastAsia"/>
                <w:sz w:val="22"/>
                <w:szCs w:val="22"/>
              </w:rPr>
              <w:t>883.37</w:t>
            </w:r>
          </w:p>
        </w:tc>
        <w:tc>
          <w:tcPr>
            <w:tcW w:w="1079"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sz w:val="22"/>
                <w:szCs w:val="22"/>
              </w:rPr>
              <w:t>580.70</w:t>
            </w: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color w:val="000000"/>
                <w:kern w:val="0"/>
                <w:sz w:val="22"/>
                <w:szCs w:val="22"/>
              </w:rPr>
              <w:t>1302.67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1</w:t>
            </w:r>
            <w:r>
              <w:rPr>
                <w:rFonts w:hint="eastAsia"/>
                <w:color w:val="000000"/>
                <w:kern w:val="0"/>
                <w:sz w:val="22"/>
                <w:szCs w:val="22"/>
              </w:rPr>
              <w:t>841.37</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538.70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1302.67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42.00</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42.00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0.00</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9178" w:type="dxa"/>
            <w:gridSpan w:val="11"/>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注：本表反映部门本年度取得的各项收入情况。</w:t>
            </w:r>
          </w:p>
        </w:tc>
      </w:tr>
    </w:tbl>
    <w:p/>
    <w:tbl>
      <w:tblPr>
        <w:tblpPr w:leftFromText="180" w:rightFromText="180" w:vertAnchor="text" w:horzAnchor="page" w:tblpX="1551" w:tblpY="181"/>
        <w:tblOverlap w:val="never"/>
        <w:tblW w:w="4964" w:type="pct"/>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321"/>
        <w:gridCol w:w="328"/>
        <w:gridCol w:w="536"/>
        <w:gridCol w:w="2231"/>
        <w:gridCol w:w="945"/>
        <w:gridCol w:w="1035"/>
        <w:gridCol w:w="720"/>
        <w:gridCol w:w="896"/>
        <w:gridCol w:w="720"/>
        <w:gridCol w:w="1444"/>
      </w:tblGrid>
      <w:tr>
        <w:trPr>
          <w:trHeight w:val="345"/>
        </w:trPr>
        <w:tc>
          <w:tcPr>
            <w:tcW w:w="9176" w:type="dxa"/>
            <w:gridSpan w:val="10"/>
            <w:tcBorders>
              <w:top w:val="nil"/>
              <w:left w:val="nil"/>
              <w:bottom w:val="nil"/>
              <w:right w:val="nil"/>
            </w:tcBorders>
            <w:shd w:val="clear" w:color="auto" w:fill="auto"/>
            <w:noWrap/>
            <w:vAlign w:val="bottom"/>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支出决算表</w:t>
            </w:r>
          </w:p>
        </w:tc>
      </w:tr>
      <w:tr>
        <w:trPr>
          <w:trHeight w:val="255"/>
        </w:trPr>
        <w:tc>
          <w:tcPr>
            <w:tcW w:w="32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2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3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23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4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3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9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444"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公开03表</w:t>
            </w:r>
          </w:p>
        </w:tc>
      </w:tr>
      <w:tr>
        <w:trPr>
          <w:trHeight w:val="255"/>
        </w:trPr>
        <w:tc>
          <w:tcPr>
            <w:tcW w:w="3416"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94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35"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9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64" w:type="dxa"/>
            <w:gridSpan w:val="2"/>
            <w:tcBorders>
              <w:top w:val="nil"/>
              <w:left w:val="nil"/>
              <w:bottom w:val="nil"/>
              <w:right w:val="nil"/>
            </w:tcBorders>
            <w:shd w:val="clear" w:color="auto" w:fill="auto"/>
            <w:noWrap/>
            <w:vAlign w:val="bottom"/>
          </w:tcPr>
          <w:p>
            <w:pPr>
              <w:widowControl/>
              <w:jc w:val="right"/>
              <w:rPr>
                <w:rFonts w:ascii="宋体" w:cs="Arial"/>
                <w:color w:val="000000"/>
                <w:spacing w:val="-8"/>
                <w:kern w:val="0"/>
                <w:sz w:val="20"/>
                <w:szCs w:val="20"/>
              </w:rPr>
            </w:pPr>
            <w:r>
              <w:rPr>
                <w:rFonts w:ascii="宋体" w:cs="Arial" w:hint="eastAsia"/>
                <w:color w:val="000000"/>
                <w:spacing w:val="-8"/>
                <w:kern w:val="0"/>
                <w:sz w:val="20"/>
                <w:szCs w:val="20"/>
              </w:rPr>
              <w:t>金额单位：万元</w:t>
            </w:r>
          </w:p>
        </w:tc>
      </w:tr>
      <w:tr>
        <w:trPr>
          <w:trHeight w:val="315"/>
        </w:trPr>
        <w:tc>
          <w:tcPr>
            <w:tcW w:w="3416"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945"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本年支出合计</w:t>
            </w:r>
          </w:p>
        </w:tc>
        <w:tc>
          <w:tcPr>
            <w:tcW w:w="1035"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72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896"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上缴上级支出</w:t>
            </w:r>
          </w:p>
        </w:tc>
        <w:tc>
          <w:tcPr>
            <w:tcW w:w="72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经营支出</w:t>
            </w:r>
          </w:p>
        </w:tc>
        <w:tc>
          <w:tcPr>
            <w:tcW w:w="1444"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对附属单位补助支出</w:t>
            </w:r>
          </w:p>
        </w:tc>
      </w:tr>
      <w:tr>
        <w:trPr>
          <w:trHeight w:val="945"/>
        </w:trPr>
        <w:tc>
          <w:tcPr>
            <w:tcW w:w="1185" w:type="dxa"/>
            <w:gridSpan w:val="3"/>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2231"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945" w:type="dxa"/>
            <w:vMerge/>
            <w:tcBorders>
              <w:top w:val="single" w:sz="6" w:space="0" w:color="000000"/>
              <w:left w:val="nil"/>
              <w:bottom w:val="single" w:sz="6" w:space="0" w:color="000000"/>
              <w:right w:val="single" w:sz="6" w:space="0" w:color="000000"/>
            </w:tcBorders>
            <w:vAlign w:val="center"/>
          </w:tcPr>
          <w:p/>
        </w:tc>
        <w:tc>
          <w:tcPr>
            <w:tcW w:w="1035" w:type="dxa"/>
            <w:vMerge/>
            <w:tcBorders>
              <w:top w:val="single" w:sz="6" w:space="0" w:color="000000"/>
              <w:left w:val="nil"/>
              <w:bottom w:val="single" w:sz="6" w:space="0" w:color="000000"/>
              <w:right w:val="single" w:sz="6" w:space="0" w:color="000000"/>
            </w:tcBorders>
            <w:vAlign w:val="center"/>
          </w:tcPr>
          <w:p/>
        </w:tc>
        <w:tc>
          <w:tcPr>
            <w:tcW w:w="720" w:type="dxa"/>
            <w:vMerge/>
            <w:tcBorders>
              <w:top w:val="single" w:sz="6" w:space="0" w:color="000000"/>
              <w:left w:val="nil"/>
              <w:bottom w:val="single" w:sz="6" w:space="0" w:color="000000"/>
              <w:right w:val="single" w:sz="6" w:space="0" w:color="000000"/>
            </w:tcBorders>
            <w:vAlign w:val="center"/>
          </w:tcPr>
          <w:p/>
        </w:tc>
        <w:tc>
          <w:tcPr>
            <w:tcW w:w="896" w:type="dxa"/>
            <w:vMerge/>
            <w:tcBorders>
              <w:top w:val="single" w:sz="6" w:space="0" w:color="000000"/>
              <w:left w:val="nil"/>
              <w:bottom w:val="single" w:sz="6" w:space="0" w:color="000000"/>
              <w:right w:val="single" w:sz="6" w:space="0" w:color="000000"/>
            </w:tcBorders>
            <w:vAlign w:val="center"/>
          </w:tcPr>
          <w:p/>
        </w:tc>
        <w:tc>
          <w:tcPr>
            <w:tcW w:w="720" w:type="dxa"/>
            <w:vMerge/>
            <w:tcBorders>
              <w:top w:val="single" w:sz="6" w:space="0" w:color="000000"/>
              <w:left w:val="nil"/>
              <w:bottom w:val="single" w:sz="6" w:space="0" w:color="000000"/>
              <w:right w:val="single" w:sz="6" w:space="0" w:color="000000"/>
            </w:tcBorders>
            <w:vAlign w:val="center"/>
          </w:tcPr>
          <w:p/>
        </w:tc>
        <w:tc>
          <w:tcPr>
            <w:tcW w:w="1444" w:type="dxa"/>
            <w:vMerge/>
            <w:tcBorders>
              <w:top w:val="single" w:sz="6" w:space="0" w:color="000000"/>
              <w:left w:val="nil"/>
              <w:bottom w:val="single" w:sz="6" w:space="0" w:color="000000"/>
              <w:right w:val="single" w:sz="6" w:space="0" w:color="000000"/>
            </w:tcBorders>
            <w:shd w:val="clear" w:color="auto" w:fill="CCCCCC"/>
            <w:vAlign w:val="center"/>
          </w:tcPr>
          <w:p/>
        </w:tc>
      </w:tr>
      <w:tr>
        <w:trPr>
          <w:trHeight w:val="315"/>
        </w:trPr>
        <w:tc>
          <w:tcPr>
            <w:tcW w:w="3416"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945"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035"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72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896"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72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44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3416"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shd w:val="clear" w:color="auto" w:fill="CCCCCC"/>
              </w:rPr>
            </w:pPr>
            <w:r>
              <w:rPr>
                <w:rFonts w:ascii="宋体" w:cs="Arial" w:hint="eastAsia"/>
                <w:color w:val="000000"/>
                <w:kern w:val="0"/>
                <w:sz w:val="22"/>
                <w:szCs w:val="22"/>
                <w:shd w:val="clear" w:color="auto" w:fill="CCCCCC"/>
              </w:rPr>
              <w:t>合计</w:t>
            </w: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1036.61</w:t>
            </w: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b/>
                <w:bCs/>
                <w:color w:val="000000"/>
                <w:kern w:val="0"/>
                <w:sz w:val="22"/>
                <w:szCs w:val="22"/>
              </w:rPr>
              <w:t>9</w:t>
            </w:r>
            <w:r>
              <w:rPr>
                <w:rFonts w:hint="eastAsia"/>
                <w:b/>
                <w:bCs/>
                <w:color w:val="000000"/>
                <w:kern w:val="0"/>
                <w:sz w:val="22"/>
                <w:szCs w:val="22"/>
              </w:rPr>
              <w:t>94.61</w:t>
            </w: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b/>
                <w:bCs/>
                <w:color w:val="000000"/>
                <w:kern w:val="0"/>
                <w:sz w:val="22"/>
                <w:szCs w:val="22"/>
              </w:rPr>
              <w:t>4</w:t>
            </w:r>
            <w:r>
              <w:rPr>
                <w:rFonts w:hint="eastAsia"/>
                <w:b/>
                <w:bCs/>
                <w:color w:val="000000"/>
                <w:kern w:val="0"/>
                <w:sz w:val="22"/>
                <w:szCs w:val="22"/>
              </w:rPr>
              <w:t>2.00</w:t>
            </w: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1036.61</w:t>
            </w: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9</w:t>
            </w:r>
            <w:r>
              <w:rPr>
                <w:rFonts w:hint="eastAsia"/>
                <w:color w:val="000000"/>
                <w:kern w:val="0"/>
                <w:sz w:val="22"/>
                <w:szCs w:val="22"/>
              </w:rPr>
              <w:t>94.61</w:t>
            </w: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4</w:t>
            </w:r>
            <w:r>
              <w:rPr>
                <w:rFonts w:hint="eastAsia"/>
                <w:color w:val="000000"/>
                <w:kern w:val="0"/>
                <w:sz w:val="22"/>
                <w:szCs w:val="22"/>
              </w:rPr>
              <w:t>2.00</w:t>
            </w: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945"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sz w:val="22"/>
                <w:szCs w:val="22"/>
              </w:rPr>
              <w:t>1036.61</w:t>
            </w:r>
          </w:p>
        </w:tc>
        <w:tc>
          <w:tcPr>
            <w:tcW w:w="1035"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sz w:val="22"/>
                <w:szCs w:val="22"/>
              </w:rPr>
              <w:t>9</w:t>
            </w:r>
            <w:r>
              <w:rPr>
                <w:rFonts w:hint="eastAsia"/>
                <w:sz w:val="22"/>
                <w:szCs w:val="22"/>
              </w:rPr>
              <w:t>94.61</w:t>
            </w:r>
          </w:p>
        </w:tc>
        <w:tc>
          <w:tcPr>
            <w:tcW w:w="72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sz w:val="22"/>
                <w:szCs w:val="22"/>
              </w:rPr>
              <w:t>4</w:t>
            </w:r>
            <w:r>
              <w:rPr>
                <w:rFonts w:hint="eastAsia"/>
                <w:sz w:val="22"/>
                <w:szCs w:val="22"/>
              </w:rPr>
              <w:t>2.00</w:t>
            </w:r>
          </w:p>
        </w:tc>
        <w:tc>
          <w:tcPr>
            <w:tcW w:w="896"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9</w:t>
            </w:r>
            <w:r>
              <w:rPr>
                <w:rFonts w:hint="eastAsia"/>
                <w:color w:val="000000"/>
                <w:kern w:val="0"/>
                <w:sz w:val="22"/>
                <w:szCs w:val="22"/>
              </w:rPr>
              <w:t>94.61</w:t>
            </w: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color w:val="000000"/>
                <w:kern w:val="0"/>
                <w:sz w:val="22"/>
                <w:szCs w:val="22"/>
              </w:rPr>
              <w:t>9</w:t>
            </w:r>
            <w:r>
              <w:rPr>
                <w:rFonts w:hint="eastAsia"/>
                <w:color w:val="000000"/>
                <w:kern w:val="0"/>
                <w:sz w:val="22"/>
                <w:szCs w:val="22"/>
              </w:rPr>
              <w:t>94.61</w:t>
            </w: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0.00</w:t>
            </w: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42.00</w:t>
            </w: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0.00</w:t>
            </w: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42.00</w:t>
            </w: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85"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2231"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p>
        </w:tc>
        <w:tc>
          <w:tcPr>
            <w:tcW w:w="94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03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89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2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9176" w:type="dxa"/>
            <w:gridSpan w:val="10"/>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注：本表反映部门本年度各项支出情况。</w:t>
            </w:r>
          </w:p>
        </w:tc>
      </w:tr>
    </w:tbl>
    <w:p/>
    <w:p/>
    <w:tbl>
      <w:tblPr>
        <w:tblpPr w:leftFromText="180" w:rightFromText="180" w:vertAnchor="text" w:horzAnchor="page" w:tblpX="1011" w:tblpY="25"/>
        <w:tblOverlap w:val="never"/>
        <w:tblW w:w="9897"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2080"/>
        <w:gridCol w:w="617"/>
        <w:gridCol w:w="538"/>
        <w:gridCol w:w="900"/>
        <w:gridCol w:w="1981"/>
        <w:gridCol w:w="540"/>
        <w:gridCol w:w="900"/>
        <w:gridCol w:w="900"/>
        <w:gridCol w:w="720"/>
        <w:gridCol w:w="721"/>
      </w:tblGrid>
      <w:tr>
        <w:trPr>
          <w:trHeight w:val="126"/>
        </w:trPr>
        <w:tc>
          <w:tcPr>
            <w:tcW w:w="20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r>
              <w:rPr>
                <w:rFonts w:ascii="Arial" w:cs="Arial" w:hAnsi="Arial"/>
                <w:color w:val="000000"/>
                <w:kern w:val="0"/>
                <w:sz w:val="20"/>
                <w:szCs w:val="20"/>
              </w:rPr>
              <w:t>单位</w:t>
            </w:r>
            <w:r>
              <w:rPr>
                <w:rFonts w:ascii="Arial" w:cs="Arial" w:hAnsi="Arial" w:hint="eastAsia"/>
                <w:color w:val="000000"/>
                <w:kern w:val="0"/>
                <w:sz w:val="20"/>
                <w:szCs w:val="20"/>
              </w:rPr>
              <w:t>：</w:t>
            </w:r>
            <w:r>
              <w:rPr>
                <w:rFonts w:ascii="宋体" w:cs="Arial" w:hint="eastAsia"/>
                <w:color w:val="000000"/>
                <w:kern w:val="0"/>
                <w:sz w:val="20"/>
                <w:szCs w:val="20"/>
              </w:rPr>
              <w:t>重庆港海关</w:t>
            </w:r>
          </w:p>
        </w:tc>
        <w:tc>
          <w:tcPr>
            <w:tcW w:w="7817" w:type="dxa"/>
            <w:gridSpan w:val="9"/>
            <w:tcBorders>
              <w:top w:val="nil"/>
              <w:left w:val="nil"/>
              <w:bottom w:val="nil"/>
              <w:right w:val="nil"/>
            </w:tcBorders>
            <w:shd w:val="clear" w:color="auto" w:fill="auto"/>
            <w:noWrap/>
            <w:vAlign w:val="bottom"/>
          </w:tcPr>
          <w:tbl>
            <w:tblPr>
              <w:tblpPr w:leftFromText="180" w:rightFromText="180" w:vertAnchor="text" w:horzAnchor="page" w:tblpX="6129" w:tblpY="469"/>
              <w:tblOverlap w:val="never"/>
              <w:tblW w:w="180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1800"/>
            </w:tblGrid>
            <w:tr>
              <w:trPr>
                <w:trHeight w:val="255"/>
              </w:trPr>
              <w:tc>
                <w:tcPr>
                  <w:tcW w:w="1800" w:type="dxa"/>
                  <w:tcBorders>
                    <w:top w:val="nil"/>
                    <w:left w:val="nil"/>
                    <w:bottom w:val="nil"/>
                    <w:right w:val="nil"/>
                  </w:tcBorders>
                  <w:shd w:val="clear" w:color="auto" w:fill="auto"/>
                  <w:noWrap/>
                  <w:vAlign w:val="bottom"/>
                </w:tcPr>
                <w:p>
                  <w:pPr>
                    <w:widowControl/>
                    <w:jc w:val="center"/>
                    <w:rPr>
                      <w:rFonts w:ascii="宋体" w:cs="Arial"/>
                      <w:color w:val="000000"/>
                      <w:kern w:val="0"/>
                      <w:sz w:val="20"/>
                      <w:szCs w:val="20"/>
                    </w:rPr>
                  </w:pPr>
                  <w:r>
                    <w:rPr>
                      <w:rFonts w:ascii="宋体" w:cs="Arial" w:hint="eastAsia"/>
                      <w:color w:val="000000"/>
                      <w:kern w:val="0"/>
                      <w:sz w:val="20"/>
                      <w:szCs w:val="20"/>
                    </w:rPr>
                    <w:t xml:space="preserve">    公开04表</w:t>
                  </w:r>
                </w:p>
              </w:tc>
            </w:tr>
            <w:tr>
              <w:trPr>
                <w:trHeight w:val="255"/>
              </w:trPr>
              <w:tc>
                <w:tcPr>
                  <w:tcW w:w="1800" w:type="dxa"/>
                  <w:tcBorders>
                    <w:top w:val="nil"/>
                    <w:left w:val="nil"/>
                    <w:bottom w:val="nil"/>
                    <w:right w:val="nil"/>
                  </w:tcBorders>
                  <w:shd w:val="clear" w:color="auto" w:fill="auto"/>
                  <w:noWrap/>
                  <w:vAlign w:val="bottom"/>
                </w:tcPr>
                <w:p>
                  <w:pPr>
                    <w:widowControl/>
                    <w:jc w:val="center"/>
                    <w:rPr>
                      <w:rFonts w:ascii="宋体" w:cs="Arial"/>
                      <w:color w:val="000000"/>
                      <w:kern w:val="0"/>
                      <w:sz w:val="20"/>
                      <w:szCs w:val="20"/>
                    </w:rPr>
                  </w:pPr>
                  <w:r>
                    <w:rPr>
                      <w:rFonts w:ascii="宋体" w:cs="Arial" w:hint="eastAsia"/>
                      <w:color w:val="000000"/>
                      <w:kern w:val="0"/>
                      <w:sz w:val="20"/>
                      <w:szCs w:val="20"/>
                    </w:rPr>
                    <w:t>金额单位：万元</w:t>
                  </w:r>
                </w:p>
              </w:tc>
            </w:tr>
          </w:tbl>
          <w:p>
            <w:pPr>
              <w:widowControl/>
              <w:ind w:firstLineChars="250" w:firstLine="800"/>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财政拨款收入支出决算总表</w:t>
            </w:r>
          </w:p>
          <w:p>
            <w:pPr>
              <w:widowControl/>
              <w:rPr>
                <w:rFonts w:ascii="Arial" w:cs="Arial" w:hAnsi="Arial"/>
                <w:color w:val="000000"/>
                <w:kern w:val="0"/>
                <w:sz w:val="20"/>
                <w:szCs w:val="20"/>
              </w:rPr>
            </w:pPr>
          </w:p>
        </w:tc>
      </w:tr>
      <w:tr>
        <w:trPr>
          <w:trHeight w:val="458"/>
        </w:trPr>
        <w:tc>
          <w:tcPr>
            <w:tcW w:w="4135" w:type="dxa"/>
            <w:gridSpan w:val="4"/>
            <w:tcBorders>
              <w:top w:val="single" w:sz="4" w:space="0" w:color="000000"/>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     入</w:t>
            </w:r>
          </w:p>
        </w:tc>
        <w:tc>
          <w:tcPr>
            <w:tcW w:w="5762" w:type="dxa"/>
            <w:gridSpan w:val="6"/>
            <w:tcBorders>
              <w:top w:val="single" w:sz="4" w:space="0" w:color="000000"/>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     出</w:t>
            </w:r>
          </w:p>
        </w:tc>
      </w:tr>
      <w:tr>
        <w:trPr>
          <w:trHeight w:val="1979"/>
        </w:trPr>
        <w:tc>
          <w:tcPr>
            <w:tcW w:w="2697" w:type="dxa"/>
            <w:gridSpan w:val="2"/>
            <w:tcBorders>
              <w:top w:val="nil"/>
              <w:left w:val="single" w:sz="4" w:space="0" w:color="000000"/>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538" w:type="dxa"/>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90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金额</w:t>
            </w:r>
          </w:p>
        </w:tc>
        <w:tc>
          <w:tcPr>
            <w:tcW w:w="1981"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项目</w:t>
            </w:r>
          </w:p>
        </w:tc>
        <w:tc>
          <w:tcPr>
            <w:tcW w:w="54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行次</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合计</w:t>
            </w:r>
          </w:p>
        </w:tc>
        <w:tc>
          <w:tcPr>
            <w:tcW w:w="90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一般公共预算财政拨款</w:t>
            </w:r>
          </w:p>
        </w:tc>
        <w:tc>
          <w:tcPr>
            <w:tcW w:w="72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政府性基金预算财政拨款</w:t>
            </w:r>
          </w:p>
        </w:tc>
        <w:tc>
          <w:tcPr>
            <w:tcW w:w="721"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国有资本经营预算财政拨款</w:t>
            </w: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538"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1</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栏次</w:t>
            </w:r>
          </w:p>
        </w:tc>
        <w:tc>
          <w:tcPr>
            <w:tcW w:w="54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　</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2</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3</w:t>
            </w:r>
          </w:p>
        </w:tc>
        <w:tc>
          <w:tcPr>
            <w:tcW w:w="72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4</w:t>
            </w:r>
          </w:p>
        </w:tc>
        <w:tc>
          <w:tcPr>
            <w:tcW w:w="721"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5</w:t>
            </w: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0"/>
                <w:kern w:val="0"/>
                <w:sz w:val="22"/>
                <w:szCs w:val="22"/>
              </w:rPr>
            </w:pPr>
            <w:r>
              <w:rPr>
                <w:rFonts w:ascii="宋体" w:cs="Arial" w:hint="eastAsia"/>
                <w:color w:val="000000"/>
                <w:spacing w:val="-10"/>
                <w:kern w:val="0"/>
                <w:sz w:val="22"/>
                <w:szCs w:val="22"/>
              </w:rPr>
              <w:t>一、一般公共预算财政拨款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color w:val="000000"/>
                <w:kern w:val="0"/>
                <w:sz w:val="22"/>
                <w:szCs w:val="22"/>
              </w:rPr>
              <w:t>580.7</w:t>
            </w:r>
            <w:r>
              <w:rPr>
                <w:rFonts w:hint="eastAsia"/>
                <w:color w:val="000000"/>
                <w:kern w:val="0"/>
                <w:sz w:val="22"/>
                <w:szCs w:val="22"/>
              </w:rPr>
              <w:t>0</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spacing w:val="-20"/>
                <w:kern w:val="0"/>
                <w:sz w:val="22"/>
                <w:szCs w:val="22"/>
              </w:rPr>
            </w:pPr>
            <w:r>
              <w:rPr>
                <w:rFonts w:ascii="宋体" w:cs="Arial" w:hint="eastAsia"/>
                <w:color w:val="000000"/>
                <w:spacing w:val="-20"/>
                <w:kern w:val="0"/>
                <w:sz w:val="22"/>
                <w:szCs w:val="22"/>
              </w:rPr>
              <w:t>一、一般公共服务支出</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11</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580.70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580.70</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6"/>
                <w:kern w:val="0"/>
                <w:sz w:val="22"/>
                <w:szCs w:val="22"/>
              </w:rPr>
            </w:pPr>
            <w:r>
              <w:rPr>
                <w:rFonts w:ascii="宋体" w:cs="Arial" w:hint="eastAsia"/>
                <w:color w:val="000000"/>
                <w:spacing w:val="-16"/>
                <w:kern w:val="0"/>
                <w:sz w:val="22"/>
                <w:szCs w:val="22"/>
              </w:rPr>
              <w:t>二、政府性基金预算财政拨款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2</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12</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0"/>
                <w:kern w:val="0"/>
                <w:sz w:val="22"/>
                <w:szCs w:val="22"/>
              </w:rPr>
            </w:pPr>
            <w:r>
              <w:rPr>
                <w:rFonts w:ascii="宋体" w:cs="Arial" w:hint="eastAsia"/>
                <w:color w:val="000000"/>
                <w:spacing w:val="-10"/>
                <w:kern w:val="0"/>
                <w:sz w:val="22"/>
                <w:szCs w:val="22"/>
              </w:rPr>
              <w:t>三、国有资本经营财政拨款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3</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13</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4</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14</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585"/>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5</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b/>
                <w:color w:val="000000"/>
                <w:kern w:val="0"/>
                <w:sz w:val="22"/>
                <w:szCs w:val="22"/>
              </w:rPr>
              <w:t>580.7</w:t>
            </w:r>
            <w:r>
              <w:rPr>
                <w:rFonts w:hint="eastAsia"/>
                <w:b/>
                <w:color w:val="000000"/>
                <w:kern w:val="0"/>
                <w:sz w:val="22"/>
                <w:szCs w:val="22"/>
              </w:rPr>
              <w:t>0</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15</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b/>
                <w:bCs/>
                <w:color w:val="000000"/>
                <w:kern w:val="0"/>
                <w:sz w:val="22"/>
                <w:szCs w:val="22"/>
              </w:rPr>
              <w:t>580.70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580.70</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年初财政拨款结转和结余</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spacing w:val="-20"/>
                <w:kern w:val="0"/>
                <w:sz w:val="22"/>
                <w:szCs w:val="22"/>
              </w:rPr>
            </w:pPr>
            <w:r>
              <w:rPr>
                <w:rFonts w:ascii="宋体" w:cs="Arial" w:hint="eastAsia"/>
                <w:color w:val="000000"/>
                <w:spacing w:val="-20"/>
                <w:kern w:val="0"/>
                <w:sz w:val="22"/>
                <w:szCs w:val="22"/>
              </w:rPr>
              <w:t>年末财政拨款结转和结余</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200"/>
              <w:jc w:val="left"/>
              <w:rPr>
                <w:rFonts w:ascii="宋体" w:cs="Arial"/>
                <w:color w:val="000000"/>
                <w:spacing w:val="-10"/>
                <w:kern w:val="0"/>
                <w:sz w:val="22"/>
                <w:szCs w:val="22"/>
              </w:rPr>
            </w:pPr>
            <w:r>
              <w:rPr>
                <w:rFonts w:ascii="宋体" w:cs="Arial" w:hint="eastAsia"/>
                <w:color w:val="000000"/>
                <w:spacing w:val="-10"/>
                <w:kern w:val="0"/>
                <w:sz w:val="22"/>
                <w:szCs w:val="22"/>
              </w:rPr>
              <w:t>一般公共预算财政拨款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7</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17</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200"/>
              <w:jc w:val="left"/>
              <w:rPr>
                <w:rFonts w:ascii="宋体" w:cs="Arial"/>
                <w:color w:val="000000"/>
                <w:spacing w:val="-10"/>
                <w:kern w:val="0"/>
                <w:sz w:val="22"/>
                <w:szCs w:val="22"/>
              </w:rPr>
            </w:pPr>
            <w:r>
              <w:rPr>
                <w:rFonts w:ascii="宋体" w:cs="Arial" w:hint="eastAsia"/>
                <w:color w:val="000000"/>
                <w:spacing w:val="-10"/>
                <w:kern w:val="0"/>
                <w:sz w:val="22"/>
                <w:szCs w:val="22"/>
              </w:rPr>
              <w:t>政府性基金预算财政拨款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8</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18</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188"/>
              <w:jc w:val="left"/>
              <w:rPr>
                <w:rFonts w:ascii="宋体" w:cs="Arial"/>
                <w:color w:val="000000"/>
                <w:spacing w:val="-16"/>
                <w:kern w:val="0"/>
                <w:sz w:val="22"/>
                <w:szCs w:val="22"/>
              </w:rPr>
            </w:pPr>
            <w:r>
              <w:rPr>
                <w:rFonts w:ascii="宋体" w:cs="Arial" w:hint="eastAsia"/>
                <w:color w:val="000000"/>
                <w:spacing w:val="-16"/>
                <w:kern w:val="0"/>
                <w:sz w:val="22"/>
                <w:szCs w:val="22"/>
              </w:rPr>
              <w:t>国有资本经营预算财政拨款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9</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19</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574"/>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538" w:type="dxa"/>
            <w:tcBorders>
              <w:top w:val="nil"/>
              <w:left w:val="nil"/>
              <w:bottom w:val="single" w:sz="8"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b/>
                <w:bCs/>
                <w:color w:val="000000"/>
                <w:kern w:val="0"/>
                <w:sz w:val="22"/>
                <w:szCs w:val="22"/>
              </w:rPr>
              <w:t>580.70</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20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b/>
                <w:bCs/>
                <w:color w:val="000000"/>
                <w:kern w:val="0"/>
                <w:sz w:val="22"/>
                <w:szCs w:val="22"/>
              </w:rPr>
              <w:t>580.70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580.70</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9897" w:type="dxa"/>
            <w:gridSpan w:val="10"/>
            <w:tcBorders>
              <w:top w:val="nil"/>
              <w:left w:val="nil"/>
              <w:bottom w:val="nil"/>
              <w:right w:val="nil"/>
            </w:tcBorders>
            <w:shd w:val="clear" w:color="auto" w:fill="auto"/>
            <w:noWrap/>
            <w:vAlign w:val="center"/>
          </w:tcPr>
          <w:p>
            <w:pPr>
              <w:widowControl/>
              <w:jc w:val="left"/>
              <w:rPr>
                <w:rFonts w:ascii="宋体" w:cs="Arial"/>
                <w:color w:val="000000"/>
                <w:kern w:val="0"/>
                <w:sz w:val="20"/>
                <w:szCs w:val="20"/>
              </w:rPr>
            </w:pPr>
            <w:r>
              <w:rPr>
                <w:rFonts w:ascii="宋体" w:cs="Arial" w:hint="eastAsia"/>
                <w:color w:val="000000"/>
                <w:kern w:val="0"/>
                <w:sz w:val="22"/>
                <w:szCs w:val="22"/>
              </w:rPr>
              <w:t>注：本表反映部门本年度一般公共预算财政拨款、政府性基金预算财政拨款和国有资本经营预算财政拨款的总收支和年末结转结余情况。</w:t>
            </w:r>
          </w:p>
        </w:tc>
      </w:tr>
    </w:tbl>
    <w:tbl>
      <w:tblPr>
        <w:tblpPr w:leftFromText="180" w:rightFromText="180" w:vertAnchor="text" w:horzAnchor="page" w:tblpX="1011" w:tblpY="9073"/>
        <w:tblOverlap w:val="never"/>
        <w:tblW w:w="5354"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366"/>
        <w:gridCol w:w="314"/>
        <w:gridCol w:w="314"/>
        <w:gridCol w:w="3251"/>
        <w:gridCol w:w="1316"/>
        <w:gridCol w:w="1716"/>
        <w:gridCol w:w="1620"/>
      </w:tblGrid>
      <w:tr>
        <w:trPr>
          <w:trHeight w:val="555"/>
        </w:trPr>
        <w:tc>
          <w:tcPr>
            <w:tcW w:w="9897" w:type="dxa"/>
            <w:gridSpan w:val="7"/>
            <w:tcBorders>
              <w:top w:val="nil"/>
              <w:left w:val="nil"/>
              <w:bottom w:val="nil"/>
              <w:right w:val="nil"/>
            </w:tcBorders>
            <w:noWrap/>
            <w:vAlign w:val="center"/>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一般公共预算财政拨款支出决算表</w:t>
            </w:r>
          </w:p>
        </w:tc>
      </w:tr>
      <w:tr>
        <w:trPr>
          <w:trHeight w:val="255"/>
        </w:trPr>
        <w:tc>
          <w:tcPr>
            <w:tcW w:w="136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1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1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25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31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71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620" w:type="dxa"/>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公开05表</w:t>
            </w:r>
          </w:p>
        </w:tc>
      </w:tr>
      <w:tr>
        <w:trPr>
          <w:trHeight w:val="255"/>
        </w:trPr>
        <w:tc>
          <w:tcPr>
            <w:tcW w:w="5245"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131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336"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33"/>
        </w:trPr>
        <w:tc>
          <w:tcPr>
            <w:tcW w:w="5245"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4652" w:type="dxa"/>
            <w:gridSpan w:val="3"/>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560"/>
        </w:trPr>
        <w:tc>
          <w:tcPr>
            <w:tcW w:w="1994" w:type="dxa"/>
            <w:gridSpan w:val="3"/>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3251"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316"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1716"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162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5"/>
        </w:trPr>
        <w:tc>
          <w:tcPr>
            <w:tcW w:w="5245"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316"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716"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6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15"/>
        </w:trPr>
        <w:tc>
          <w:tcPr>
            <w:tcW w:w="5245"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16" w:type="dxa"/>
            <w:tcBorders>
              <w:top w:val="nil"/>
              <w:left w:val="nil"/>
              <w:bottom w:val="single" w:sz="6" w:space="0" w:color="000000"/>
              <w:right w:val="single" w:sz="6" w:space="0" w:color="000000"/>
            </w:tcBorders>
            <w:noWrap/>
            <w:vAlign w:val="center"/>
          </w:tcPr>
          <w:p>
            <w:pPr>
              <w:widowControl/>
              <w:jc w:val="right"/>
              <w:rPr>
                <w:b/>
                <w:bCs/>
                <w:color w:val="000000"/>
                <w:kern w:val="0"/>
                <w:sz w:val="22"/>
                <w:szCs w:val="22"/>
              </w:rPr>
            </w:pPr>
            <w:r>
              <w:rPr>
                <w:rFonts w:hint="eastAsia"/>
                <w:b/>
                <w:bCs/>
                <w:color w:val="000000"/>
                <w:kern w:val="0"/>
                <w:sz w:val="22"/>
                <w:szCs w:val="22"/>
              </w:rPr>
              <w:t>580.70</w:t>
            </w:r>
          </w:p>
        </w:tc>
        <w:tc>
          <w:tcPr>
            <w:tcW w:w="1716" w:type="dxa"/>
            <w:tcBorders>
              <w:top w:val="nil"/>
              <w:left w:val="nil"/>
              <w:bottom w:val="single" w:sz="6" w:space="0" w:color="000000"/>
              <w:right w:val="single" w:sz="6" w:space="0" w:color="000000"/>
            </w:tcBorders>
            <w:noWrap/>
            <w:vAlign w:val="center"/>
          </w:tcPr>
          <w:p>
            <w:pPr>
              <w:widowControl/>
              <w:jc w:val="right"/>
              <w:rPr>
                <w:b/>
                <w:bCs/>
                <w:color w:val="000000"/>
                <w:kern w:val="0"/>
                <w:sz w:val="22"/>
                <w:szCs w:val="22"/>
              </w:rPr>
            </w:pPr>
            <w:r>
              <w:rPr>
                <w:rFonts w:hint="eastAsia"/>
                <w:b/>
                <w:bCs/>
                <w:color w:val="000000"/>
                <w:kern w:val="0"/>
                <w:sz w:val="22"/>
                <w:szCs w:val="22"/>
              </w:rPr>
              <w:t>538.70</w:t>
            </w:r>
          </w:p>
        </w:tc>
        <w:tc>
          <w:tcPr>
            <w:tcW w:w="1620" w:type="dxa"/>
            <w:tcBorders>
              <w:top w:val="nil"/>
              <w:left w:val="nil"/>
              <w:bottom w:val="single" w:sz="6" w:space="0" w:color="000000"/>
              <w:right w:val="single" w:sz="6" w:space="0" w:color="000000"/>
            </w:tcBorders>
            <w:noWrap/>
            <w:vAlign w:val="center"/>
          </w:tcPr>
          <w:p>
            <w:pPr>
              <w:widowControl/>
              <w:jc w:val="right"/>
              <w:rPr>
                <w:b/>
                <w:bCs/>
                <w:color w:val="000000"/>
                <w:kern w:val="0"/>
                <w:sz w:val="22"/>
                <w:szCs w:val="22"/>
              </w:rPr>
            </w:pPr>
            <w:r>
              <w:rPr>
                <w:b/>
                <w:bCs/>
                <w:color w:val="000000"/>
                <w:kern w:val="0"/>
                <w:sz w:val="22"/>
                <w:szCs w:val="22"/>
              </w:rPr>
              <w:t>4</w:t>
            </w:r>
            <w:r>
              <w:rPr>
                <w:rFonts w:hint="eastAsia"/>
                <w:b/>
                <w:bCs/>
                <w:color w:val="000000"/>
                <w:kern w:val="0"/>
                <w:sz w:val="22"/>
                <w:szCs w:val="22"/>
              </w:rPr>
              <w:t>2.00</w:t>
            </w:r>
          </w:p>
        </w:tc>
      </w:tr>
      <w:tr>
        <w:trPr>
          <w:trHeight w:val="315"/>
        </w:trPr>
        <w:tc>
          <w:tcPr>
            <w:tcW w:w="1994"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3251"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13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580.70</w:t>
            </w:r>
          </w:p>
        </w:tc>
        <w:tc>
          <w:tcPr>
            <w:tcW w:w="17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538.70</w:t>
            </w:r>
          </w:p>
        </w:tc>
        <w:tc>
          <w:tcPr>
            <w:tcW w:w="1620"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color w:val="000000"/>
                <w:kern w:val="0"/>
                <w:sz w:val="22"/>
                <w:szCs w:val="22"/>
              </w:rPr>
              <w:t>4</w:t>
            </w:r>
            <w:r>
              <w:rPr>
                <w:rFonts w:hint="eastAsia"/>
                <w:color w:val="000000"/>
                <w:kern w:val="0"/>
                <w:sz w:val="22"/>
                <w:szCs w:val="22"/>
              </w:rPr>
              <w:t>2.00</w:t>
            </w:r>
          </w:p>
        </w:tc>
      </w:tr>
      <w:tr>
        <w:trPr>
          <w:trHeight w:val="315"/>
        </w:trPr>
        <w:tc>
          <w:tcPr>
            <w:tcW w:w="1994"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3251"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13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580.70</w:t>
            </w:r>
          </w:p>
        </w:tc>
        <w:tc>
          <w:tcPr>
            <w:tcW w:w="17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538.70</w:t>
            </w:r>
          </w:p>
        </w:tc>
        <w:tc>
          <w:tcPr>
            <w:tcW w:w="1620"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color w:val="000000"/>
                <w:kern w:val="0"/>
                <w:sz w:val="22"/>
                <w:szCs w:val="22"/>
              </w:rPr>
              <w:t>4</w:t>
            </w:r>
            <w:r>
              <w:rPr>
                <w:rFonts w:hint="eastAsia"/>
                <w:color w:val="000000"/>
                <w:kern w:val="0"/>
                <w:sz w:val="22"/>
                <w:szCs w:val="22"/>
              </w:rPr>
              <w:t>2.00</w:t>
            </w:r>
          </w:p>
        </w:tc>
      </w:tr>
      <w:tr>
        <w:trPr>
          <w:trHeight w:val="315"/>
        </w:trPr>
        <w:tc>
          <w:tcPr>
            <w:tcW w:w="1994"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3251"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13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538.70</w:t>
            </w:r>
          </w:p>
        </w:tc>
        <w:tc>
          <w:tcPr>
            <w:tcW w:w="17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538.70</w:t>
            </w:r>
          </w:p>
        </w:tc>
        <w:tc>
          <w:tcPr>
            <w:tcW w:w="1620"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p>
        </w:tc>
      </w:tr>
      <w:tr>
        <w:trPr>
          <w:trHeight w:val="315"/>
        </w:trPr>
        <w:tc>
          <w:tcPr>
            <w:tcW w:w="1994"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3251"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13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42.00</w:t>
            </w:r>
          </w:p>
        </w:tc>
        <w:tc>
          <w:tcPr>
            <w:tcW w:w="1716"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p>
        </w:tc>
        <w:tc>
          <w:tcPr>
            <w:tcW w:w="1620" w:type="dxa"/>
            <w:tcBorders>
              <w:top w:val="nil"/>
              <w:left w:val="nil"/>
              <w:bottom w:val="single" w:sz="6" w:space="0" w:color="000000"/>
              <w:right w:val="single" w:sz="6" w:space="0" w:color="000000"/>
            </w:tcBorders>
            <w:noWrap/>
            <w:vAlign w:val="center"/>
          </w:tcPr>
          <w:p>
            <w:pPr>
              <w:widowControl/>
              <w:jc w:val="right"/>
              <w:rPr>
                <w:color w:val="000000"/>
                <w:kern w:val="0"/>
                <w:sz w:val="22"/>
                <w:szCs w:val="22"/>
              </w:rPr>
            </w:pPr>
            <w:r>
              <w:rPr>
                <w:rFonts w:hint="eastAsia"/>
                <w:color w:val="000000"/>
                <w:kern w:val="0"/>
                <w:sz w:val="22"/>
                <w:szCs w:val="22"/>
              </w:rPr>
              <w:t>42.00</w:t>
            </w:r>
          </w:p>
        </w:tc>
      </w:tr>
      <w:tr>
        <w:trPr>
          <w:trHeight w:val="382"/>
        </w:trPr>
        <w:tc>
          <w:tcPr>
            <w:tcW w:w="9897" w:type="dxa"/>
            <w:gridSpan w:val="7"/>
            <w:tcBorders>
              <w:top w:val="nil"/>
              <w:left w:val="nil"/>
              <w:bottom w:val="nil"/>
              <w:right w:val="nil"/>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注：本表反映部门本年度一般公共预算财政拨款支出情况。</w:t>
            </w:r>
          </w:p>
        </w:tc>
      </w:tr>
    </w:tbl>
    <w:p/>
    <w:p>
      <w:pPr>
        <w:sectPr>
          <w:headerReference w:type="default" r:id="rId4"/>
          <w:footerReference w:type="default" r:id="rId5"/>
          <w:pgSz w:w="11907" w:h="16840"/>
          <w:pgMar w:top="1134" w:right="1440" w:bottom="1134" w:left="1440" w:header="851" w:footer="992" w:gutter="0"/>
          <w:pgNumType w:chapStyle="1"/>
          <w:docGrid w:type="linesAndChars" w:linePitch="312" w:charSpace="0"/>
        </w:sectPr>
      </w:pPr>
    </w:p>
    <w:tbl>
      <w:tblPr>
        <w:tblpPr w:leftFromText="180" w:rightFromText="180" w:vertAnchor="text" w:horzAnchor="page" w:tblpX="1371" w:tblpY="181"/>
        <w:tblOverlap w:val="never"/>
        <w:tblW w:w="9175" w:type="dxa"/>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890"/>
        <w:gridCol w:w="2325"/>
        <w:gridCol w:w="1271"/>
        <w:gridCol w:w="898"/>
        <w:gridCol w:w="1226"/>
        <w:gridCol w:w="236"/>
        <w:gridCol w:w="358"/>
        <w:gridCol w:w="537"/>
        <w:gridCol w:w="1434"/>
      </w:tblGrid>
      <w:tr>
        <w:trPr>
          <w:trHeight w:val="594"/>
        </w:trPr>
        <w:tc>
          <w:tcPr>
            <w:tcW w:w="9175" w:type="dxa"/>
            <w:gridSpan w:val="9"/>
            <w:tcBorders>
              <w:top w:val="nil"/>
              <w:left w:val="nil"/>
              <w:bottom w:val="nil"/>
              <w:right w:val="nil"/>
            </w:tcBorders>
            <w:noWrap/>
            <w:vAlign w:val="center"/>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一般公共预算财政拨款基本支出决算明细表</w:t>
            </w:r>
          </w:p>
        </w:tc>
      </w:tr>
      <w:tr>
        <w:trPr>
          <w:trHeight w:val="282"/>
        </w:trPr>
        <w:tc>
          <w:tcPr>
            <w:tcW w:w="890"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25"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7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9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2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5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53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434" w:type="dxa"/>
            <w:tcBorders>
              <w:top w:val="nil"/>
              <w:left w:val="nil"/>
              <w:bottom w:val="nil"/>
              <w:right w:val="nil"/>
            </w:tcBorders>
            <w:noWrap/>
            <w:vAlign w:val="bottom"/>
          </w:tcPr>
          <w:p>
            <w:pPr>
              <w:widowControl/>
              <w:ind w:firstLineChars="200" w:firstLine="376"/>
              <w:rPr>
                <w:rFonts w:ascii="宋体" w:cs="Arial"/>
                <w:color w:val="000000"/>
                <w:spacing w:val="-6"/>
                <w:kern w:val="0"/>
                <w:sz w:val="20"/>
                <w:szCs w:val="20"/>
              </w:rPr>
            </w:pPr>
            <w:r>
              <w:rPr>
                <w:rFonts w:ascii="宋体" w:cs="Arial" w:hint="eastAsia"/>
                <w:color w:val="000000"/>
                <w:spacing w:val="-6"/>
                <w:kern w:val="0"/>
                <w:sz w:val="20"/>
                <w:szCs w:val="20"/>
              </w:rPr>
              <w:t>公开06表</w:t>
            </w:r>
          </w:p>
        </w:tc>
      </w:tr>
      <w:tr>
        <w:trPr>
          <w:trHeight w:val="282"/>
        </w:trPr>
        <w:tc>
          <w:tcPr>
            <w:tcW w:w="3215" w:type="dxa"/>
            <w:gridSpan w:val="2"/>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127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9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2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5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71" w:type="dxa"/>
            <w:gridSpan w:val="2"/>
            <w:tcBorders>
              <w:top w:val="nil"/>
              <w:left w:val="nil"/>
              <w:bottom w:val="single" w:sz="6" w:space="0" w:color="000000"/>
              <w:right w:val="nil"/>
            </w:tcBorders>
            <w:noWrap/>
            <w:vAlign w:val="bottom"/>
          </w:tcPr>
          <w:p>
            <w:pPr>
              <w:widowControl/>
              <w:wordWrap w:val="0"/>
              <w:jc w:val="right"/>
              <w:rPr>
                <w:rFonts w:ascii="宋体" w:cs="Arial"/>
                <w:color w:val="000000"/>
                <w:kern w:val="0"/>
                <w:sz w:val="18"/>
                <w:szCs w:val="18"/>
              </w:rPr>
            </w:pPr>
            <w:r>
              <w:rPr>
                <w:rFonts w:ascii="宋体" w:cs="Arial" w:hint="eastAsia"/>
                <w:color w:val="000000"/>
                <w:kern w:val="0"/>
                <w:sz w:val="18"/>
                <w:szCs w:val="18"/>
              </w:rPr>
              <w:t xml:space="preserve"> 金额单位：万元</w:t>
            </w:r>
          </w:p>
        </w:tc>
      </w:tr>
      <w:tr>
        <w:trPr>
          <w:trHeight w:val="423"/>
        </w:trPr>
        <w:tc>
          <w:tcPr>
            <w:tcW w:w="4486" w:type="dxa"/>
            <w:gridSpan w:val="3"/>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w:t>
            </w:r>
          </w:p>
        </w:tc>
        <w:tc>
          <w:tcPr>
            <w:tcW w:w="4689" w:type="dxa"/>
            <w:gridSpan w:val="6"/>
            <w:tcBorders>
              <w:top w:val="single" w:sz="6" w:space="0" w:color="000000"/>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w:t>
            </w:r>
          </w:p>
        </w:tc>
      </w:tr>
      <w:tr>
        <w:trPr>
          <w:trHeight w:val="611"/>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编码</w:t>
            </w:r>
          </w:p>
        </w:tc>
        <w:tc>
          <w:tcPr>
            <w:tcW w:w="2325"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71"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898"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编码</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43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406"/>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301</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工资福利支出</w:t>
            </w:r>
          </w:p>
        </w:tc>
        <w:tc>
          <w:tcPr>
            <w:tcW w:w="1271" w:type="dxa"/>
            <w:tcBorders>
              <w:top w:val="nil"/>
              <w:left w:val="nil"/>
              <w:bottom w:val="single" w:sz="6" w:space="0" w:color="000000"/>
              <w:right w:val="single" w:sz="6" w:space="0" w:color="000000"/>
            </w:tcBorders>
            <w:vAlign w:val="center"/>
          </w:tcPr>
          <w:p>
            <w:pPr>
              <w:widowControl/>
              <w:jc w:val="right"/>
              <w:rPr>
                <w:b/>
                <w:bCs/>
                <w:color w:val="000000"/>
                <w:kern w:val="0"/>
                <w:sz w:val="22"/>
                <w:szCs w:val="22"/>
              </w:rPr>
            </w:pPr>
            <w:r>
              <w:rPr>
                <w:b/>
                <w:bCs/>
                <w:color w:val="000000"/>
                <w:kern w:val="0"/>
                <w:sz w:val="22"/>
                <w:szCs w:val="22"/>
              </w:rPr>
              <w:t>4</w:t>
            </w:r>
            <w:r>
              <w:rPr>
                <w:rFonts w:hint="eastAsia"/>
                <w:b/>
                <w:bCs/>
                <w:color w:val="000000"/>
                <w:kern w:val="0"/>
                <w:sz w:val="22"/>
                <w:szCs w:val="22"/>
              </w:rPr>
              <w:t>78.73</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302</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商品和服务支出</w:t>
            </w:r>
          </w:p>
        </w:tc>
        <w:tc>
          <w:tcPr>
            <w:tcW w:w="1434" w:type="dxa"/>
            <w:tcBorders>
              <w:top w:val="nil"/>
              <w:left w:val="nil"/>
              <w:bottom w:val="single" w:sz="6" w:space="0" w:color="000000"/>
              <w:right w:val="single" w:sz="6" w:space="0" w:color="000000"/>
            </w:tcBorders>
            <w:vAlign w:val="center"/>
          </w:tcPr>
          <w:p>
            <w:pPr>
              <w:widowControl/>
              <w:jc w:val="right"/>
              <w:rPr>
                <w:b/>
                <w:bCs/>
                <w:color w:val="000000"/>
                <w:kern w:val="0"/>
                <w:sz w:val="22"/>
                <w:szCs w:val="22"/>
              </w:rPr>
            </w:pPr>
            <w:r>
              <w:rPr>
                <w:rFonts w:hint="eastAsia"/>
                <w:b/>
                <w:bCs/>
                <w:color w:val="000000"/>
                <w:kern w:val="0"/>
                <w:sz w:val="22"/>
                <w:szCs w:val="22"/>
              </w:rPr>
              <w:t>59.97</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30101</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基本工资</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219.65</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30201</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办公费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3.61</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30102</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津贴补贴</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color w:val="000000"/>
                <w:kern w:val="0"/>
                <w:sz w:val="22"/>
                <w:szCs w:val="22"/>
              </w:rPr>
              <w:t>2</w:t>
            </w:r>
            <w:r>
              <w:rPr>
                <w:rFonts w:hint="eastAsia"/>
                <w:color w:val="000000"/>
                <w:kern w:val="0"/>
                <w:sz w:val="22"/>
                <w:szCs w:val="22"/>
              </w:rPr>
              <w:t>41.84</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30202</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 xml:space="preserve">  印刷费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0.05</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w:t>
            </w:r>
            <w:r>
              <w:rPr>
                <w:rFonts w:hint="eastAsia"/>
                <w:color w:val="000000"/>
                <w:kern w:val="0"/>
                <w:sz w:val="22"/>
                <w:szCs w:val="22"/>
              </w:rPr>
              <w:t>03</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奖金</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17.24</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30207</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邮电费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6.71</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303</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b/>
                <w:bCs/>
                <w:color w:val="000000"/>
                <w:kern w:val="0"/>
                <w:sz w:val="22"/>
                <w:szCs w:val="22"/>
              </w:rPr>
            </w:pPr>
            <w:r>
              <w:rPr>
                <w:b/>
                <w:bCs/>
                <w:color w:val="000000"/>
                <w:kern w:val="0"/>
                <w:sz w:val="22"/>
                <w:szCs w:val="22"/>
              </w:rPr>
              <w:t>对个人和家庭的补助</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0.00</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物业管理费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color w:val="000000"/>
                <w:kern w:val="0"/>
                <w:sz w:val="22"/>
                <w:szCs w:val="22"/>
              </w:rPr>
              <w:t>0</w:t>
            </w:r>
            <w:r>
              <w:rPr>
                <w:rFonts w:hint="eastAsia"/>
                <w:color w:val="000000"/>
                <w:kern w:val="0"/>
                <w:sz w:val="22"/>
                <w:szCs w:val="22"/>
              </w:rPr>
              <w:t>.22</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b/>
                <w:bCs/>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b/>
                <w:bCs/>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30211</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差旅费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2.19</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30213</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 xml:space="preserve">  维修（护）费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0.37</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30218</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专用材料费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1.68</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30226</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ind w:firstLineChars="100" w:firstLine="220"/>
              <w:jc w:val="left"/>
              <w:rPr>
                <w:color w:val="000000"/>
                <w:kern w:val="0"/>
                <w:sz w:val="22"/>
                <w:szCs w:val="22"/>
              </w:rPr>
            </w:pPr>
            <w:r>
              <w:rPr>
                <w:rFonts w:hint="eastAsia"/>
                <w:color w:val="000000"/>
                <w:kern w:val="0"/>
                <w:sz w:val="22"/>
                <w:szCs w:val="22"/>
              </w:rPr>
              <w:t>劳务费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0.04</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30227</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ind w:firstLineChars="100" w:firstLine="220"/>
              <w:jc w:val="left"/>
              <w:rPr>
                <w:color w:val="000000"/>
                <w:kern w:val="0"/>
                <w:sz w:val="22"/>
                <w:szCs w:val="22"/>
              </w:rPr>
            </w:pPr>
            <w:r>
              <w:rPr>
                <w:rFonts w:hint="eastAsia"/>
                <w:color w:val="000000"/>
                <w:kern w:val="0"/>
                <w:sz w:val="22"/>
                <w:szCs w:val="22"/>
              </w:rPr>
              <w:t>委托业务费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0.05</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30228</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ind w:firstLineChars="100" w:firstLine="220"/>
              <w:jc w:val="left"/>
              <w:rPr>
                <w:color w:val="000000"/>
                <w:kern w:val="0"/>
                <w:sz w:val="22"/>
                <w:szCs w:val="22"/>
              </w:rPr>
            </w:pPr>
            <w:r>
              <w:rPr>
                <w:rFonts w:hint="eastAsia"/>
                <w:color w:val="000000"/>
                <w:kern w:val="0"/>
                <w:sz w:val="22"/>
                <w:szCs w:val="22"/>
              </w:rPr>
              <w:t>工会经费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5.96</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30229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福利费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6.62</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30239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其他交通费用</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31.79</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30299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ind w:firstLineChars="100" w:firstLine="196"/>
              <w:jc w:val="left"/>
              <w:rPr>
                <w:color w:val="000000"/>
                <w:spacing w:val="-12"/>
                <w:kern w:val="0"/>
                <w:sz w:val="22"/>
                <w:szCs w:val="22"/>
              </w:rPr>
            </w:pPr>
            <w:r>
              <w:rPr>
                <w:color w:val="000000"/>
                <w:spacing w:val="-12"/>
                <w:kern w:val="0"/>
                <w:sz w:val="22"/>
                <w:szCs w:val="22"/>
              </w:rPr>
              <w:t>其他商品和服务支出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0.68</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b/>
                <w:color w:val="000000"/>
                <w:kern w:val="0"/>
                <w:sz w:val="22"/>
                <w:szCs w:val="22"/>
              </w:rPr>
            </w:pPr>
            <w:r>
              <w:rPr>
                <w:rFonts w:hint="eastAsia"/>
                <w:b/>
                <w:color w:val="000000"/>
                <w:kern w:val="0"/>
                <w:sz w:val="22"/>
                <w:szCs w:val="22"/>
              </w:rPr>
              <w:t>307</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b/>
                <w:color w:val="000000"/>
                <w:spacing w:val="-12"/>
                <w:kern w:val="0"/>
                <w:sz w:val="22"/>
                <w:szCs w:val="22"/>
              </w:rPr>
            </w:pPr>
            <w:r>
              <w:rPr>
                <w:rFonts w:hint="eastAsia"/>
                <w:b/>
                <w:color w:val="000000"/>
                <w:spacing w:val="-12"/>
                <w:kern w:val="0"/>
                <w:sz w:val="22"/>
                <w:szCs w:val="22"/>
              </w:rPr>
              <w:t>债务利息及费用支出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0.00</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b/>
                <w:color w:val="000000"/>
                <w:kern w:val="0"/>
                <w:sz w:val="22"/>
                <w:szCs w:val="22"/>
              </w:rPr>
            </w:pPr>
            <w:r>
              <w:rPr>
                <w:rFonts w:hint="eastAsia"/>
                <w:b/>
                <w:color w:val="000000"/>
                <w:kern w:val="0"/>
                <w:sz w:val="22"/>
                <w:szCs w:val="22"/>
              </w:rPr>
              <w:t>310</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b/>
                <w:color w:val="000000"/>
                <w:spacing w:val="-12"/>
                <w:kern w:val="0"/>
                <w:sz w:val="22"/>
                <w:szCs w:val="22"/>
              </w:rPr>
            </w:pPr>
            <w:r>
              <w:rPr>
                <w:rFonts w:hint="eastAsia"/>
                <w:b/>
                <w:color w:val="000000"/>
                <w:spacing w:val="-12"/>
                <w:kern w:val="0"/>
                <w:sz w:val="22"/>
                <w:szCs w:val="22"/>
              </w:rPr>
              <w:t>资本性支出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0.00</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b/>
                <w:color w:val="000000"/>
                <w:kern w:val="0"/>
                <w:sz w:val="22"/>
                <w:szCs w:val="22"/>
              </w:rPr>
            </w:pPr>
            <w:r>
              <w:rPr>
                <w:rFonts w:hint="eastAsia"/>
                <w:b/>
                <w:color w:val="000000"/>
                <w:kern w:val="0"/>
                <w:sz w:val="22"/>
                <w:szCs w:val="22"/>
              </w:rPr>
              <w:t>399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b/>
                <w:color w:val="000000"/>
                <w:spacing w:val="-12"/>
                <w:kern w:val="0"/>
                <w:sz w:val="22"/>
                <w:szCs w:val="22"/>
              </w:rPr>
            </w:pPr>
            <w:r>
              <w:rPr>
                <w:rFonts w:hint="eastAsia"/>
                <w:b/>
                <w:color w:val="000000"/>
                <w:spacing w:val="-12"/>
                <w:kern w:val="0"/>
                <w:sz w:val="22"/>
                <w:szCs w:val="22"/>
              </w:rPr>
              <w:t>其他支出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0.00</w:t>
            </w:r>
          </w:p>
        </w:tc>
      </w:tr>
      <w:tr>
        <w:trPr>
          <w:trHeight w:val="438"/>
        </w:trPr>
        <w:tc>
          <w:tcPr>
            <w:tcW w:w="3215" w:type="dxa"/>
            <w:gridSpan w:val="2"/>
            <w:tcBorders>
              <w:top w:val="nil"/>
              <w:left w:val="single" w:sz="6" w:space="0" w:color="000000"/>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人员经费合计</w:t>
            </w:r>
          </w:p>
        </w:tc>
        <w:tc>
          <w:tcPr>
            <w:tcW w:w="1271" w:type="dxa"/>
            <w:tcBorders>
              <w:top w:val="nil"/>
              <w:left w:val="nil"/>
              <w:bottom w:val="single" w:sz="6" w:space="0" w:color="000000"/>
              <w:right w:val="single" w:sz="6" w:space="0" w:color="000000"/>
            </w:tcBorders>
            <w:vAlign w:val="center"/>
          </w:tcPr>
          <w:p>
            <w:pPr>
              <w:widowControl/>
              <w:jc w:val="right"/>
              <w:rPr>
                <w:b/>
                <w:bCs/>
                <w:kern w:val="0"/>
                <w:sz w:val="22"/>
                <w:szCs w:val="22"/>
              </w:rPr>
            </w:pPr>
            <w:r>
              <w:rPr>
                <w:b/>
                <w:bCs/>
                <w:kern w:val="0"/>
                <w:sz w:val="22"/>
                <w:szCs w:val="22"/>
              </w:rPr>
              <w:t>4</w:t>
            </w:r>
            <w:r>
              <w:rPr>
                <w:rFonts w:hint="eastAsia"/>
                <w:b/>
                <w:bCs/>
                <w:kern w:val="0"/>
                <w:sz w:val="22"/>
                <w:szCs w:val="22"/>
              </w:rPr>
              <w:t>78.73</w:t>
            </w:r>
          </w:p>
        </w:tc>
        <w:tc>
          <w:tcPr>
            <w:tcW w:w="3255" w:type="dxa"/>
            <w:gridSpan w:val="5"/>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公用经费合计</w:t>
            </w:r>
          </w:p>
        </w:tc>
        <w:tc>
          <w:tcPr>
            <w:tcW w:w="1434" w:type="dxa"/>
            <w:tcBorders>
              <w:top w:val="nil"/>
              <w:left w:val="nil"/>
              <w:bottom w:val="single" w:sz="6" w:space="0" w:color="000000"/>
              <w:right w:val="single" w:sz="6" w:space="0" w:color="000000"/>
            </w:tcBorders>
            <w:vAlign w:val="center"/>
          </w:tcPr>
          <w:p>
            <w:pPr>
              <w:widowControl/>
              <w:jc w:val="right"/>
              <w:rPr>
                <w:b/>
                <w:bCs/>
                <w:kern w:val="0"/>
                <w:sz w:val="22"/>
                <w:szCs w:val="22"/>
              </w:rPr>
            </w:pPr>
            <w:r>
              <w:rPr>
                <w:rFonts w:hint="eastAsia"/>
                <w:b/>
                <w:bCs/>
                <w:kern w:val="0"/>
                <w:sz w:val="22"/>
                <w:szCs w:val="22"/>
              </w:rPr>
              <w:t>59.97</w:t>
            </w:r>
          </w:p>
        </w:tc>
      </w:tr>
      <w:tr>
        <w:trPr>
          <w:trHeight w:val="418"/>
        </w:trPr>
        <w:tc>
          <w:tcPr>
            <w:tcW w:w="9175" w:type="dxa"/>
            <w:gridSpan w:val="9"/>
            <w:tcBorders>
              <w:top w:val="nil"/>
              <w:left w:val="nil"/>
              <w:bottom w:val="nil"/>
              <w:right w:val="nil"/>
            </w:tcBorders>
            <w:noWrap/>
            <w:vAlign w:val="center"/>
          </w:tcPr>
          <w:p>
            <w:pPr>
              <w:widowControl/>
              <w:jc w:val="left"/>
              <w:rPr>
                <w:kern w:val="0"/>
                <w:sz w:val="22"/>
                <w:szCs w:val="22"/>
              </w:rPr>
            </w:pPr>
            <w:r>
              <w:rPr>
                <w:kern w:val="0"/>
                <w:sz w:val="22"/>
                <w:szCs w:val="22"/>
              </w:rPr>
              <w:t>注：本表反映部门本年度一般公共预算财政拨款基本支出明细情况。</w:t>
            </w:r>
          </w:p>
          <w:p>
            <w:pPr>
              <w:widowControl/>
              <w:ind w:firstLineChars="200" w:firstLine="440"/>
              <w:jc w:val="left"/>
              <w:rPr>
                <w:kern w:val="0"/>
                <w:sz w:val="22"/>
                <w:szCs w:val="22"/>
              </w:rPr>
            </w:pPr>
            <w:r>
              <w:rPr>
                <w:rFonts w:ascii="宋体" w:cs="Arial" w:hint="eastAsia"/>
                <w:color w:val="000000"/>
                <w:kern w:val="0"/>
                <w:sz w:val="22"/>
                <w:szCs w:val="22"/>
              </w:rPr>
              <w:t>本套报表金额单位转换时可能存在尾数误差。</w:t>
            </w:r>
          </w:p>
        </w:tc>
      </w:tr>
    </w:tbl>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tbl>
      <w:tblPr>
        <w:tblpPr w:leftFromText="180" w:rightFromText="180" w:vertAnchor="text" w:horzAnchor="page" w:tblpX="1551" w:tblpY="251"/>
        <w:tblOverlap w:val="never"/>
        <w:tblW w:w="4964"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625"/>
        <w:gridCol w:w="236"/>
        <w:gridCol w:w="236"/>
        <w:gridCol w:w="972"/>
        <w:gridCol w:w="1367"/>
        <w:gridCol w:w="953"/>
        <w:gridCol w:w="921"/>
        <w:gridCol w:w="953"/>
        <w:gridCol w:w="834"/>
        <w:gridCol w:w="1080"/>
      </w:tblGrid>
      <w:tr>
        <w:trPr>
          <w:trHeight w:val="345"/>
        </w:trPr>
        <w:tc>
          <w:tcPr>
            <w:tcW w:w="9177" w:type="dxa"/>
            <w:gridSpan w:val="10"/>
            <w:tcBorders>
              <w:top w:val="nil"/>
              <w:left w:val="nil"/>
              <w:bottom w:val="nil"/>
              <w:right w:val="nil"/>
            </w:tcBorders>
            <w:noWrap/>
            <w:vAlign w:val="center"/>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政府性基金预算财政拨款收入支出决算表</w:t>
            </w:r>
          </w:p>
        </w:tc>
      </w:tr>
      <w:tr>
        <w:trPr>
          <w:trHeight w:val="255"/>
        </w:trPr>
        <w:tc>
          <w:tcPr>
            <w:tcW w:w="1625"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72"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36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14"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公开07表</w:t>
            </w:r>
          </w:p>
        </w:tc>
      </w:tr>
      <w:tr>
        <w:trPr>
          <w:trHeight w:val="255"/>
        </w:trPr>
        <w:tc>
          <w:tcPr>
            <w:tcW w:w="3069"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136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14" w:type="dxa"/>
            <w:gridSpan w:val="2"/>
            <w:tcBorders>
              <w:top w:val="nil"/>
              <w:left w:val="nil"/>
              <w:bottom w:val="single" w:sz="6" w:space="0" w:color="000000"/>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3069"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367"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年初结转</w:t>
            </w:r>
          </w:p>
          <w:p>
            <w:pPr>
              <w:widowControl/>
              <w:jc w:val="center"/>
              <w:rPr>
                <w:rFonts w:ascii="宋体" w:cs="Arial"/>
                <w:color w:val="000000"/>
                <w:kern w:val="0"/>
                <w:sz w:val="22"/>
                <w:szCs w:val="22"/>
              </w:rPr>
            </w:pPr>
            <w:r>
              <w:rPr>
                <w:rFonts w:ascii="宋体" w:cs="Arial" w:hint="eastAsia"/>
                <w:color w:val="000000"/>
                <w:kern w:val="0"/>
                <w:sz w:val="22"/>
                <w:szCs w:val="22"/>
              </w:rPr>
              <w:t>和结余</w:t>
            </w:r>
          </w:p>
        </w:tc>
        <w:tc>
          <w:tcPr>
            <w:tcW w:w="953"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w:t>
            </w:r>
          </w:p>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2708" w:type="dxa"/>
            <w:gridSpan w:val="3"/>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c>
          <w:tcPr>
            <w:tcW w:w="108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年末结转和结余</w:t>
            </w:r>
          </w:p>
        </w:tc>
      </w:tr>
      <w:tr>
        <w:trPr>
          <w:trHeight w:val="315"/>
        </w:trPr>
        <w:tc>
          <w:tcPr>
            <w:tcW w:w="2097" w:type="dxa"/>
            <w:gridSpan w:val="3"/>
            <w:vMerge w:val="restart"/>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972" w:type="dxa"/>
            <w:vMerge w:val="restart"/>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名称</w:t>
            </w: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953"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83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2097" w:type="dxa"/>
            <w:gridSpan w:val="3"/>
            <w:vMerge/>
            <w:tcBorders>
              <w:top w:val="nil"/>
              <w:left w:val="single" w:sz="6" w:space="0" w:color="000000"/>
              <w:bottom w:val="single" w:sz="6" w:space="0" w:color="000000"/>
              <w:right w:val="single" w:sz="6" w:space="0" w:color="000000"/>
            </w:tcBorders>
            <w:vAlign w:val="center"/>
          </w:tcPr>
          <w:p/>
        </w:tc>
        <w:tc>
          <w:tcPr>
            <w:tcW w:w="972" w:type="dxa"/>
            <w:vMerge/>
            <w:tcBorders>
              <w:top w:val="nil"/>
              <w:left w:val="nil"/>
              <w:bottom w:val="single" w:sz="6" w:space="0" w:color="000000"/>
              <w:right w:val="single" w:sz="6" w:space="0" w:color="000000"/>
            </w:tcBorders>
            <w:vAlign w:val="center"/>
          </w:tcP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834" w:type="dxa"/>
            <w:vMerge/>
            <w:tcBorders>
              <w:top w:val="nil"/>
              <w:left w:val="nil"/>
              <w:bottom w:val="single" w:sz="6" w:space="0" w:color="000000"/>
              <w:right w:val="single" w:sz="6" w:space="0" w:color="000000"/>
            </w:tcBorders>
            <w:vAlign w:val="center"/>
          </w:tcP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2097" w:type="dxa"/>
            <w:gridSpan w:val="3"/>
            <w:vMerge/>
            <w:tcBorders>
              <w:top w:val="nil"/>
              <w:left w:val="single" w:sz="6" w:space="0" w:color="000000"/>
              <w:bottom w:val="single" w:sz="6" w:space="0" w:color="000000"/>
              <w:right w:val="single" w:sz="6" w:space="0" w:color="000000"/>
            </w:tcBorders>
            <w:vAlign w:val="center"/>
          </w:tcPr>
          <w:p/>
        </w:tc>
        <w:tc>
          <w:tcPr>
            <w:tcW w:w="972" w:type="dxa"/>
            <w:vMerge/>
            <w:tcBorders>
              <w:top w:val="nil"/>
              <w:left w:val="nil"/>
              <w:bottom w:val="single" w:sz="6" w:space="0" w:color="000000"/>
              <w:right w:val="single" w:sz="6" w:space="0" w:color="000000"/>
            </w:tcBorders>
            <w:vAlign w:val="center"/>
          </w:tcP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834" w:type="dxa"/>
            <w:vMerge/>
            <w:tcBorders>
              <w:top w:val="nil"/>
              <w:left w:val="nil"/>
              <w:bottom w:val="single" w:sz="6" w:space="0" w:color="000000"/>
              <w:right w:val="single" w:sz="6" w:space="0" w:color="000000"/>
            </w:tcBorders>
            <w:vAlign w:val="center"/>
          </w:tcP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306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367"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95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921"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95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834"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08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306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15"/>
        </w:trPr>
        <w:tc>
          <w:tcPr>
            <w:tcW w:w="9177" w:type="dxa"/>
            <w:gridSpan w:val="10"/>
            <w:tcBorders>
              <w:top w:val="nil"/>
              <w:left w:val="nil"/>
              <w:bottom w:val="nil"/>
              <w:right w:val="nil"/>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注：本表反映部门本年度政府性基金预算财政拨款收入、支出及结转和结余情况。</w:t>
            </w:r>
          </w:p>
        </w:tc>
      </w:tr>
    </w:tbl>
    <w:p>
      <w:pPr>
        <w:rPr>
          <w:rFonts w:ascii="宋体"/>
          <w:b/>
          <w:sz w:val="22"/>
          <w:szCs w:val="22"/>
        </w:rPr>
      </w:pPr>
    </w:p>
    <w:p>
      <w:pPr>
        <w:rPr>
          <w:rFonts w:ascii="宋体"/>
          <w:sz w:val="22"/>
          <w:szCs w:val="22"/>
        </w:rPr>
      </w:pPr>
      <w:r>
        <w:rPr>
          <w:rFonts w:ascii="宋体" w:hint="eastAsia"/>
          <w:sz w:val="22"/>
          <w:szCs w:val="22"/>
        </w:rPr>
        <w:t>说明：</w:t>
      </w:r>
      <w:r>
        <w:rPr>
          <w:rFonts w:ascii="宋体" w:hint="eastAsia"/>
          <w:kern w:val="0"/>
          <w:sz w:val="22"/>
          <w:szCs w:val="22"/>
        </w:rPr>
        <w:t>重庆港</w:t>
      </w:r>
      <w:r>
        <w:rPr>
          <w:rFonts w:ascii="宋体" w:hint="eastAsia"/>
          <w:sz w:val="22"/>
          <w:szCs w:val="22"/>
        </w:rPr>
        <w:t>海关没有政府性基金收入，也没有使用政府性基金安排的支出，故本表无数据。</w:t>
      </w:r>
    </w:p>
    <w:p>
      <w:pPr>
        <w:rPr>
          <w:rFonts w:ascii="宋体"/>
          <w:sz w:val="22"/>
          <w:szCs w:val="22"/>
        </w:rPr>
      </w:pPr>
    </w:p>
    <w:p>
      <w:pPr>
        <w:rPr>
          <w:rFonts w:ascii="宋体"/>
          <w:sz w:val="22"/>
          <w:szCs w:val="22"/>
        </w:rPr>
      </w:pPr>
    </w:p>
    <w:p>
      <w:pPr>
        <w:rPr>
          <w:sz w:val="32"/>
          <w:szCs w:val="32"/>
        </w:rPr>
      </w:pPr>
    </w:p>
    <w:p/>
    <w:p/>
    <w:tbl>
      <w:tblPr>
        <w:jc w:val="left"/>
        <w:tblInd w:w="110" w:type="dxa"/>
        <w:tblW w:w="4965"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020"/>
        <w:gridCol w:w="1898"/>
        <w:gridCol w:w="952"/>
        <w:gridCol w:w="668"/>
        <w:gridCol w:w="1012"/>
        <w:gridCol w:w="1598"/>
        <w:gridCol w:w="2030"/>
      </w:tblGrid>
      <w:tr>
        <w:trPr>
          <w:trHeight w:val="345"/>
        </w:trPr>
        <w:tc>
          <w:tcPr>
            <w:tcW w:w="9178" w:type="dxa"/>
            <w:gridSpan w:val="7"/>
            <w:tcBorders>
              <w:top w:val="nil"/>
              <w:left w:val="nil"/>
              <w:bottom w:val="nil"/>
              <w:right w:val="nil"/>
            </w:tcBorders>
            <w:noWrap/>
            <w:vAlign w:val="center"/>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国有资本经营预算财政拨款支出决算表</w:t>
            </w:r>
          </w:p>
        </w:tc>
      </w:tr>
      <w:tr>
        <w:trPr>
          <w:trHeight w:val="255"/>
        </w:trPr>
        <w:tc>
          <w:tcPr>
            <w:tcW w:w="2918" w:type="dxa"/>
            <w:gridSpan w:val="2"/>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95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28"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公开08表</w:t>
            </w:r>
          </w:p>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2918" w:type="dxa"/>
            <w:gridSpan w:val="2"/>
            <w:tcBorders>
              <w:top w:val="single" w:sz="4" w:space="0" w:color="000000"/>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260" w:type="dxa"/>
            <w:gridSpan w:val="5"/>
            <w:tcBorders>
              <w:top w:val="single" w:sz="4" w:space="0" w:color="000000"/>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2"/>
        </w:trPr>
        <w:tc>
          <w:tcPr>
            <w:tcW w:w="1020" w:type="dxa"/>
            <w:vMerge w:val="restart"/>
            <w:tcBorders>
              <w:top w:val="nil"/>
              <w:left w:val="single" w:sz="4" w:space="0" w:color="000000"/>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1898" w:type="dxa"/>
            <w:vMerge w:val="restart"/>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620" w:type="dxa"/>
            <w:gridSpan w:val="2"/>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610" w:type="dxa"/>
            <w:gridSpan w:val="2"/>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2030" w:type="dxa"/>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1898" w:type="dxa"/>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2610" w:type="dxa"/>
            <w:gridSpan w:val="2"/>
            <w:vMerge/>
            <w:tcBorders>
              <w:top w:val="nil"/>
              <w:left w:val="nil"/>
              <w:bottom w:val="single" w:sz="4" w:space="0" w:color="000000"/>
              <w:right w:val="single" w:sz="4" w:space="0" w:color="000000"/>
            </w:tcBorders>
            <w:shd w:val="clear" w:color="auto" w:fill="FFFFFF"/>
            <w:vAlign w:val="center"/>
          </w:tcPr>
          <w:p/>
        </w:tc>
        <w:tc>
          <w:tcPr>
            <w:tcW w:w="2030" w:type="dxa"/>
            <w:vMerge/>
            <w:tcBorders>
              <w:top w:val="nil"/>
              <w:left w:val="nil"/>
              <w:bottom w:val="single" w:sz="4" w:space="0" w:color="000000"/>
              <w:right w:val="single" w:sz="4" w:space="0" w:color="000000"/>
            </w:tcBorders>
            <w:shd w:val="clear" w:color="auto" w:fill="FFFFFF"/>
            <w:vAlign w:val="center"/>
          </w:tcP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1898" w:type="dxa"/>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2610" w:type="dxa"/>
            <w:gridSpan w:val="2"/>
            <w:vMerge/>
            <w:tcBorders>
              <w:top w:val="nil"/>
              <w:left w:val="nil"/>
              <w:bottom w:val="single" w:sz="4" w:space="0" w:color="000000"/>
              <w:right w:val="single" w:sz="4" w:space="0" w:color="000000"/>
            </w:tcBorders>
            <w:shd w:val="clear" w:color="auto" w:fill="FFFFFF"/>
            <w:vAlign w:val="center"/>
          </w:tcPr>
          <w:p/>
        </w:tc>
        <w:tc>
          <w:tcPr>
            <w:tcW w:w="2030" w:type="dxa"/>
            <w:vMerge/>
            <w:tcBorders>
              <w:top w:val="nil"/>
              <w:left w:val="nil"/>
              <w:bottom w:val="single" w:sz="4" w:space="0" w:color="000000"/>
              <w:right w:val="single" w:sz="4" w:space="0" w:color="000000"/>
            </w:tcBorders>
            <w:shd w:val="clear" w:color="auto" w:fill="FFFFFF"/>
            <w:vAlign w:val="center"/>
          </w:tcPr>
          <w:p/>
        </w:tc>
      </w:tr>
      <w:tr>
        <w:trPr>
          <w:trHeight w:val="308"/>
        </w:trPr>
        <w:tc>
          <w:tcPr>
            <w:tcW w:w="2918"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620" w:type="dxa"/>
            <w:gridSpan w:val="2"/>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610" w:type="dxa"/>
            <w:gridSpan w:val="2"/>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2030"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08"/>
        </w:trPr>
        <w:tc>
          <w:tcPr>
            <w:tcW w:w="2918"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62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203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9178" w:type="dxa"/>
            <w:gridSpan w:val="7"/>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注：本表反映部门本年度国有资本经营预算财政拨款支出情况。</w:t>
            </w:r>
          </w:p>
        </w:tc>
      </w:tr>
    </w:tbl>
    <w:p/>
    <w:p>
      <w:pPr>
        <w:rPr>
          <w:rFonts w:ascii="宋体"/>
          <w:sz w:val="22"/>
          <w:szCs w:val="22"/>
        </w:rPr>
      </w:pPr>
      <w:r>
        <w:rPr>
          <w:rFonts w:ascii="宋体" w:hint="eastAsia"/>
          <w:sz w:val="22"/>
          <w:szCs w:val="22"/>
        </w:rPr>
        <w:t>说明：</w:t>
      </w:r>
      <w:r>
        <w:rPr>
          <w:rFonts w:ascii="宋体" w:hint="eastAsia"/>
          <w:kern w:val="0"/>
          <w:sz w:val="22"/>
          <w:szCs w:val="22"/>
        </w:rPr>
        <w:t>重庆港</w:t>
      </w:r>
      <w:r>
        <w:rPr>
          <w:rFonts w:ascii="宋体" w:hint="eastAsia"/>
          <w:sz w:val="22"/>
          <w:szCs w:val="22"/>
        </w:rPr>
        <w:t>海关没有使用国有资本经营预算安排的支出，故本表无数据。</w:t>
      </w:r>
    </w:p>
    <w:p>
      <w:pPr>
        <w:rPr>
          <w:rFonts w:ascii="宋体"/>
          <w:sz w:val="22"/>
          <w:szCs w:val="22"/>
        </w:rPr>
      </w:pPr>
    </w:p>
    <w:p>
      <w:pPr>
        <w:rPr>
          <w:rFonts w:ascii="宋体"/>
          <w:sz w:val="22"/>
          <w:szCs w:val="22"/>
        </w:rPr>
      </w:pPr>
    </w:p>
    <w:p>
      <w:pPr>
        <w:rPr>
          <w:rFonts w:ascii="宋体"/>
          <w:sz w:val="22"/>
          <w:szCs w:val="22"/>
        </w:rPr>
      </w:pPr>
    </w:p>
    <w:p>
      <w:pPr>
        <w:rPr>
          <w:rFonts w:ascii="宋体"/>
          <w:sz w:val="22"/>
          <w:szCs w:val="22"/>
        </w:rPr>
      </w:pPr>
    </w:p>
    <w:tbl>
      <w:tblPr>
        <w:tblpPr w:leftFromText="180" w:rightFromText="180" w:vertAnchor="text" w:horzAnchor="page" w:tblpX="1371" w:tblpY="336"/>
        <w:tblOverlap w:val="never"/>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724"/>
        <w:gridCol w:w="876"/>
        <w:gridCol w:w="724"/>
        <w:gridCol w:w="769"/>
        <w:gridCol w:w="769"/>
        <w:gridCol w:w="724"/>
        <w:gridCol w:w="724"/>
        <w:gridCol w:w="876"/>
        <w:gridCol w:w="724"/>
        <w:gridCol w:w="769"/>
        <w:gridCol w:w="769"/>
        <w:gridCol w:w="724"/>
      </w:tblGrid>
      <w:tr>
        <w:trPr>
          <w:trHeight w:val="510"/>
        </w:trPr>
        <w:tc>
          <w:tcPr>
            <w:tcW w:w="9172" w:type="dxa"/>
            <w:gridSpan w:val="12"/>
            <w:tcBorders>
              <w:top w:val="nil"/>
              <w:left w:val="nil"/>
              <w:bottom w:val="nil"/>
              <w:right w:val="nil"/>
            </w:tcBorders>
            <w:noWrap/>
            <w:vAlign w:val="center"/>
          </w:tcPr>
          <w:p>
            <w:pPr>
              <w:widowControl/>
              <w:jc w:val="center"/>
              <w:rPr>
                <w:rFonts w:ascii="方正楷体_GBK" w:eastAsia="方正楷体_GBK" w:cs="Arial"/>
                <w:b/>
                <w:bCs/>
                <w:color w:val="000000"/>
                <w:kern w:val="0"/>
                <w:sz w:val="32"/>
                <w:szCs w:val="32"/>
              </w:rPr>
            </w:pPr>
            <w:r>
              <w:rPr>
                <w:rFonts w:ascii="方正楷体_GBK" w:eastAsia="方正楷体_GBK" w:cs="Arial" w:hint="eastAsia"/>
                <w:b/>
                <w:bCs/>
                <w:color w:val="000000"/>
                <w:kern w:val="0"/>
                <w:sz w:val="32"/>
                <w:szCs w:val="32"/>
              </w:rPr>
              <w:t>一般公共预算财政拨款“三公”经费支出决算表</w:t>
            </w:r>
          </w:p>
        </w:tc>
      </w:tr>
      <w:tr>
        <w:trPr>
          <w:trHeight w:val="255"/>
        </w:trPr>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493"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公开09表</w:t>
            </w:r>
          </w:p>
        </w:tc>
      </w:tr>
      <w:tr>
        <w:trPr>
          <w:trHeight w:val="255"/>
        </w:trPr>
        <w:tc>
          <w:tcPr>
            <w:tcW w:w="2324" w:type="dxa"/>
            <w:gridSpan w:val="3"/>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单位：重庆港海关</w:t>
            </w: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262" w:type="dxa"/>
            <w:gridSpan w:val="3"/>
            <w:tcBorders>
              <w:top w:val="nil"/>
              <w:left w:val="nil"/>
              <w:bottom w:val="nil"/>
              <w:right w:val="nil"/>
            </w:tcBorders>
            <w:noWrap/>
            <w:vAlign w:val="bottom"/>
          </w:tcPr>
          <w:p>
            <w:pPr>
              <w:widowControl/>
              <w:ind w:firstLineChars="350" w:firstLine="700"/>
              <w:rPr>
                <w:rFonts w:ascii="宋体" w:cs="Arial"/>
                <w:color w:val="000000"/>
                <w:kern w:val="0"/>
                <w:sz w:val="20"/>
                <w:szCs w:val="20"/>
              </w:rPr>
            </w:pPr>
            <w:r>
              <w:rPr>
                <w:rFonts w:ascii="宋体" w:cs="Arial" w:hint="eastAsia"/>
                <w:color w:val="000000"/>
                <w:kern w:val="0"/>
                <w:sz w:val="20"/>
                <w:szCs w:val="20"/>
              </w:rPr>
              <w:t>金额单位：万元</w:t>
            </w:r>
          </w:p>
        </w:tc>
      </w:tr>
      <w:tr>
        <w:trPr>
          <w:trHeight w:val="560"/>
        </w:trPr>
        <w:tc>
          <w:tcPr>
            <w:tcW w:w="4586" w:type="dxa"/>
            <w:gridSpan w:val="6"/>
            <w:tcBorders>
              <w:top w:val="single" w:sz="6" w:space="0" w:color="000000"/>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预算数</w:t>
            </w:r>
          </w:p>
        </w:tc>
        <w:tc>
          <w:tcPr>
            <w:tcW w:w="4586" w:type="dxa"/>
            <w:gridSpan w:val="6"/>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15"/>
        </w:trPr>
        <w:tc>
          <w:tcPr>
            <w:tcW w:w="724" w:type="dxa"/>
            <w:vMerge w:val="restart"/>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876"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2262" w:type="dxa"/>
            <w:gridSpan w:val="3"/>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876"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2262" w:type="dxa"/>
            <w:gridSpan w:val="3"/>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r>
      <w:tr>
        <w:trPr>
          <w:trHeight w:val="615"/>
        </w:trPr>
        <w:tc>
          <w:tcPr>
            <w:tcW w:w="724" w:type="dxa"/>
            <w:vMerge/>
            <w:tcBorders>
              <w:top w:val="nil"/>
              <w:left w:val="single" w:sz="6" w:space="0" w:color="000000"/>
              <w:bottom w:val="single" w:sz="6" w:space="0" w:color="000000"/>
              <w:right w:val="single" w:sz="6" w:space="0" w:color="000000"/>
            </w:tcBorders>
            <w:vAlign w:val="center"/>
          </w:tcPr>
          <w:p/>
        </w:tc>
        <w:tc>
          <w:tcPr>
            <w:tcW w:w="876" w:type="dxa"/>
            <w:vMerge/>
            <w:tcBorders>
              <w:top w:val="nil"/>
              <w:left w:val="nil"/>
              <w:bottom w:val="single" w:sz="6" w:space="0" w:color="000000"/>
              <w:right w:val="single" w:sz="6" w:space="0" w:color="000000"/>
            </w:tcBorders>
            <w:vAlign w:val="center"/>
          </w:tcP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724" w:type="dxa"/>
            <w:vMerge/>
            <w:tcBorders>
              <w:top w:val="nil"/>
              <w:left w:val="nil"/>
              <w:bottom w:val="single" w:sz="6" w:space="0" w:color="000000"/>
              <w:right w:val="single" w:sz="6" w:space="0" w:color="000000"/>
            </w:tcBorders>
            <w:vAlign w:val="center"/>
          </w:tcPr>
          <w:p/>
        </w:tc>
        <w:tc>
          <w:tcPr>
            <w:tcW w:w="724" w:type="dxa"/>
            <w:vMerge/>
            <w:tcBorders>
              <w:top w:val="nil"/>
              <w:left w:val="nil"/>
              <w:bottom w:val="single" w:sz="6" w:space="0" w:color="000000"/>
              <w:right w:val="single" w:sz="6" w:space="0" w:color="000000"/>
            </w:tcBorders>
            <w:vAlign w:val="center"/>
          </w:tcPr>
          <w:p/>
        </w:tc>
        <w:tc>
          <w:tcPr>
            <w:tcW w:w="876" w:type="dxa"/>
            <w:vMerge/>
            <w:tcBorders>
              <w:top w:val="nil"/>
              <w:left w:val="nil"/>
              <w:bottom w:val="single" w:sz="6" w:space="0" w:color="000000"/>
              <w:right w:val="single" w:sz="6" w:space="0" w:color="000000"/>
            </w:tcBorders>
            <w:vAlign w:val="center"/>
          </w:tcP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724" w:type="dxa"/>
            <w:vMerge/>
            <w:tcBorders>
              <w:top w:val="nil"/>
              <w:left w:val="nil"/>
              <w:bottom w:val="single" w:sz="6" w:space="0" w:color="000000"/>
              <w:right w:val="single" w:sz="6" w:space="0" w:color="000000"/>
            </w:tcBorders>
            <w:vAlign w:val="center"/>
          </w:tcPr>
          <w:p/>
        </w:tc>
      </w:tr>
      <w:tr>
        <w:trPr>
          <w:trHeight w:val="315"/>
        </w:trPr>
        <w:tc>
          <w:tcPr>
            <w:tcW w:w="724" w:type="dxa"/>
            <w:tcBorders>
              <w:top w:val="nil"/>
              <w:left w:val="single" w:sz="6" w:space="0" w:color="000000"/>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w:t>
            </w:r>
          </w:p>
        </w:tc>
        <w:tc>
          <w:tcPr>
            <w:tcW w:w="876"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2</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3</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4</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5</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6</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7</w:t>
            </w:r>
          </w:p>
        </w:tc>
        <w:tc>
          <w:tcPr>
            <w:tcW w:w="876"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8</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9</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10</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11</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12</w:t>
            </w:r>
          </w:p>
        </w:tc>
      </w:tr>
      <w:tr>
        <w:trPr>
          <w:trHeight w:val="482"/>
        </w:trPr>
        <w:tc>
          <w:tcPr>
            <w:tcW w:w="724" w:type="dxa"/>
            <w:tcBorders>
              <w:top w:val="nil"/>
              <w:left w:val="single" w:sz="6" w:space="0" w:color="000000"/>
              <w:bottom w:val="single" w:sz="6" w:space="0" w:color="000000"/>
              <w:right w:val="single" w:sz="6" w:space="0" w:color="000000"/>
            </w:tcBorders>
            <w:noWrap/>
            <w:vAlign w:val="center"/>
          </w:tcPr>
          <w:p>
            <w:pPr>
              <w:widowControl/>
              <w:jc w:val="center"/>
              <w:rPr>
                <w:b/>
                <w:bCs/>
                <w:color w:val="000000"/>
                <w:kern w:val="0"/>
                <w:sz w:val="22"/>
                <w:szCs w:val="22"/>
              </w:rPr>
            </w:pPr>
            <w:r>
              <w:rPr>
                <w:rFonts w:hint="eastAsia"/>
                <w:b/>
                <w:bCs/>
                <w:color w:val="000000"/>
                <w:kern w:val="0"/>
                <w:sz w:val="22"/>
                <w:szCs w:val="22"/>
              </w:rPr>
              <w:t>24.00</w:t>
            </w:r>
          </w:p>
        </w:tc>
        <w:tc>
          <w:tcPr>
            <w:tcW w:w="876"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24.00</w:t>
            </w: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24.00</w:t>
            </w: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b/>
                <w:bCs/>
                <w:color w:val="000000"/>
                <w:kern w:val="0"/>
                <w:sz w:val="22"/>
                <w:szCs w:val="22"/>
              </w:rPr>
            </w:pPr>
            <w:r>
              <w:rPr>
                <w:rFonts w:hint="eastAsia"/>
                <w:b/>
                <w:bCs/>
                <w:color w:val="000000"/>
                <w:kern w:val="0"/>
                <w:sz w:val="22"/>
                <w:szCs w:val="22"/>
              </w:rPr>
              <w:t>23.26</w:t>
            </w:r>
          </w:p>
        </w:tc>
        <w:tc>
          <w:tcPr>
            <w:tcW w:w="876"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23.26</w:t>
            </w: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23.26</w:t>
            </w: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r>
      <w:tr>
        <w:trPr>
          <w:trHeight w:val="615"/>
        </w:trPr>
        <w:tc>
          <w:tcPr>
            <w:tcW w:w="9172" w:type="dxa"/>
            <w:gridSpan w:val="12"/>
            <w:tcBorders>
              <w:top w:val="nil"/>
              <w:left w:val="nil"/>
              <w:bottom w:val="nil"/>
              <w:right w:val="nil"/>
            </w:tcBorders>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rPr>
          <w:rFonts w:ascii="方正楷体_GBK" w:eastAsia="方正楷体_GBK"/>
          <w:b/>
          <w:bCs/>
          <w:sz w:val="32"/>
          <w:szCs w:val="32"/>
        </w:rPr>
      </w:pPr>
    </w:p>
    <w:p>
      <w:pPr>
        <w:rPr>
          <w:rFonts w:ascii="宋体"/>
          <w:sz w:val="22"/>
          <w:szCs w:val="22"/>
        </w:rPr>
      </w:pPr>
    </w:p>
    <w:p>
      <w:pPr>
        <w:rPr>
          <w:rFonts w:ascii="宋体"/>
          <w:sz w:val="22"/>
          <w:szCs w:val="22"/>
        </w:rPr>
      </w:pPr>
    </w:p>
    <w:p>
      <w:pPr>
        <w:rPr>
          <w:rFonts w:ascii="宋体"/>
          <w:sz w:val="22"/>
          <w:szCs w:val="22"/>
        </w:rPr>
        <w:sectPr>
          <w:pgSz w:w="11907" w:h="16840"/>
          <w:pgMar w:top="1134" w:right="1440" w:bottom="1134" w:left="1440" w:header="851" w:footer="992" w:gutter="0"/>
          <w:docGrid w:linePitch="312" w:charSpace="0"/>
        </w:sect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widowControl/>
        <w:autoSpaceDN w:val="0"/>
        <w:spacing w:line="800" w:lineRule="exact"/>
        <w:jc w:val="center"/>
        <w:rPr>
          <w:rFonts w:ascii="方正黑体_GBK" w:eastAsia="方正黑体_GBK"/>
          <w:sz w:val="72"/>
          <w:szCs w:val="72"/>
        </w:rPr>
      </w:pPr>
      <w:r>
        <w:rPr>
          <w:rFonts w:ascii="方正黑体_GBK" w:eastAsia="方正黑体_GBK" w:hint="eastAsia"/>
          <w:sz w:val="72"/>
          <w:szCs w:val="72"/>
        </w:rPr>
        <w:t xml:space="preserve">第三部分 </w:t>
      </w:r>
    </w:p>
    <w:p>
      <w:pPr>
        <w:widowControl/>
        <w:autoSpaceDN w:val="0"/>
        <w:spacing w:line="700" w:lineRule="exact"/>
        <w:jc w:val="center"/>
        <w:rPr>
          <w:rFonts w:ascii="方正黑体_GBK" w:eastAsia="方正黑体_GBK"/>
          <w:sz w:val="72"/>
          <w:szCs w:val="72"/>
        </w:rPr>
      </w:pPr>
    </w:p>
    <w:p>
      <w:pPr>
        <w:widowControl/>
        <w:autoSpaceDN w:val="0"/>
        <w:spacing w:line="800" w:lineRule="exact"/>
        <w:ind w:firstLine="10"/>
        <w:jc w:val="center"/>
        <w:rPr>
          <w:rFonts w:ascii="方正黑体_GBK" w:eastAsia="方正黑体_GBK"/>
          <w:spacing w:val="-20"/>
          <w:sz w:val="72"/>
          <w:szCs w:val="72"/>
        </w:rPr>
      </w:pPr>
      <w:r>
        <w:rPr>
          <w:rFonts w:ascii="方正黑体_GBK" w:eastAsia="方正黑体_GBK" w:hint="eastAsia"/>
          <w:spacing w:val="-20"/>
          <w:sz w:val="72"/>
          <w:szCs w:val="72"/>
        </w:rPr>
        <w:t>2022年度部门决算情况说明</w:t>
      </w: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一、收入支出决算总体情况说明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2022年度收、支总计2284.58万元。与20</w:t>
      </w:r>
      <w:r>
        <w:rPr>
          <w:rFonts w:eastAsia="方正仿宋_GBK"/>
          <w:sz w:val="32"/>
          <w:szCs w:val="32"/>
        </w:rPr>
        <w:t>2</w:t>
      </w:r>
      <w:r>
        <w:rPr>
          <w:rFonts w:eastAsia="方正仿宋_GBK" w:hint="eastAsia"/>
          <w:sz w:val="32"/>
          <w:szCs w:val="32"/>
        </w:rPr>
        <w:t>1年度相比，收、支总计</w:t>
      </w:r>
      <w:r>
        <w:rPr>
          <w:rFonts w:eastAsia="方正仿宋_GBK"/>
          <w:sz w:val="32"/>
          <w:szCs w:val="32"/>
        </w:rPr>
        <w:t>各增加</w:t>
      </w:r>
      <w:r>
        <w:rPr>
          <w:rFonts w:eastAsia="方正仿宋_GBK" w:hint="eastAsia"/>
          <w:sz w:val="32"/>
          <w:szCs w:val="32"/>
        </w:rPr>
        <w:t>937.44万元，</w:t>
      </w:r>
      <w:r>
        <w:rPr>
          <w:rFonts w:eastAsia="方正仿宋_GBK"/>
          <w:sz w:val="32"/>
          <w:szCs w:val="32"/>
        </w:rPr>
        <w:t>增长</w:t>
      </w:r>
      <w:r>
        <w:rPr>
          <w:rFonts w:eastAsia="方正仿宋_GBK" w:hint="eastAsia"/>
          <w:sz w:val="32"/>
          <w:szCs w:val="32"/>
        </w:rPr>
        <w:t>69.59%</w:t>
      </w:r>
      <w:r>
        <w:rPr>
          <w:rFonts w:eastAsia="方正仿宋_GBK"/>
          <w:sz w:val="32"/>
          <w:szCs w:val="32"/>
        </w:rPr>
        <w:t>，</w:t>
      </w:r>
      <w:r>
        <w:rPr>
          <w:rFonts w:eastAsia="方正仿宋_GBK" w:hint="eastAsia"/>
          <w:sz w:val="32"/>
          <w:szCs w:val="32"/>
        </w:rPr>
        <w:t>主要</w:t>
      </w:r>
      <w:r>
        <w:rPr>
          <w:rFonts w:eastAsia="方正仿宋_GBK"/>
          <w:sz w:val="32"/>
          <w:szCs w:val="32"/>
        </w:rPr>
        <w:t>原因是202</w:t>
      </w:r>
      <w:r>
        <w:rPr>
          <w:rFonts w:eastAsia="方正仿宋_GBK" w:hint="eastAsia"/>
          <w:sz w:val="32"/>
          <w:szCs w:val="32"/>
        </w:rPr>
        <w:t>2</w:t>
      </w:r>
      <w:r>
        <w:rPr>
          <w:rFonts w:eastAsia="方正仿宋_GBK"/>
          <w:sz w:val="32"/>
          <w:szCs w:val="32"/>
        </w:rPr>
        <w:t>年其他收入较上年</w:t>
      </w:r>
      <w:r>
        <w:rPr>
          <w:rFonts w:eastAsia="方正仿宋_GBK" w:hint="eastAsia"/>
          <w:sz w:val="32"/>
          <w:szCs w:val="32"/>
        </w:rPr>
        <w:t>增长较大。</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图1：收、支决算总计变动情况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pPr>
      <w:r>
        <w:drawing>
          <wp:anchor distT="0" distB="0" distL="85723" distR="85723" simplePos="0" relativeHeight="27" behindDoc="0" locked="0" layoutInCell="1" hidden="0" allowOverlap="1">
            <wp:simplePos x="0" y="0"/>
            <wp:positionH relativeFrom="column">
              <wp:posOffset>1028064</wp:posOffset>
            </wp:positionH>
            <wp:positionV relativeFrom="paragraph">
              <wp:posOffset>41275</wp:posOffset>
            </wp:positionV>
            <wp:extent cx="3658235" cy="2739390"/>
            <wp:effectExtent l="0" t="0" r="0" b="0"/>
            <wp:wrapTight wrapText="bothSides">
              <wp:wrapPolygon>
                <wp:start x="-52" y="-70"/>
                <wp:lineTo x="-52" y="21559"/>
                <wp:lineTo x="21599" y="21559"/>
                <wp:lineTo x="21599" y="-70"/>
                <wp:lineTo x="-52" y="-70"/>
              </wp:wrapPolygon>
            </wp:wrapTight>
            <wp:docPr id="34" name="图片 34" descr="2365777571660182829831.emf"/>
            <wp:cNvGraphicFramePr>
              <a:graphicFrameLocks noChangeAspect="1"/>
            </wp:cNvGraphicFramePr>
            <a:graphic>
              <a:graphicData uri="http://schemas.openxmlformats.org/drawingml/2006/picture">
                <pic:pic>
                  <pic:nvPicPr>
                    <pic:cNvPr id="36" name="图片 36"/>
                    <pic:cNvPicPr/>
                  </pic:nvPicPr>
                  <pic:blipFill>
                    <a:blip r:embed="rId7"/>
                    <a:stretch>
                      <a:fillRect/>
                    </a:stretch>
                  </pic:blipFill>
                  <pic:spPr>
                    <a:xfrm rot="0">
                      <a:off x="0" y="0"/>
                      <a:ext cx="3658235" cy="2739390"/>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 xml:space="preserve">二、收入决算情况说明 </w:t>
      </w:r>
    </w:p>
    <w:p>
      <w:pPr>
        <w:autoSpaceDN w:val="0"/>
        <w:spacing w:line="560" w:lineRule="exact"/>
        <w:ind w:firstLineChars="200" w:firstLine="640"/>
        <w:rPr>
          <w:rFonts w:eastAsia="方正仿宋_GBK"/>
          <w:bCs/>
          <w:kern w:val="0"/>
          <w:sz w:val="32"/>
          <w:szCs w:val="32"/>
        </w:rPr>
      </w:pPr>
      <w:r>
        <w:rPr>
          <w:rFonts w:eastAsia="方正仿宋_GBK"/>
          <w:sz w:val="32"/>
          <w:szCs w:val="32"/>
        </w:rPr>
        <w:t>202</w:t>
      </w:r>
      <w:r>
        <w:rPr>
          <w:rFonts w:eastAsia="方正仿宋_GBK" w:hint="eastAsia"/>
          <w:sz w:val="32"/>
          <w:szCs w:val="32"/>
        </w:rPr>
        <w:t>2年</w:t>
      </w:r>
      <w:r>
        <w:rPr>
          <w:rFonts w:eastAsia="方正仿宋_GBK"/>
          <w:sz w:val="32"/>
          <w:szCs w:val="32"/>
        </w:rPr>
        <w:t>度</w:t>
      </w:r>
      <w:r>
        <w:rPr>
          <w:rFonts w:eastAsia="方正仿宋_GBK" w:hint="eastAsia"/>
          <w:sz w:val="32"/>
          <w:szCs w:val="32"/>
        </w:rPr>
        <w:t>收入</w:t>
      </w:r>
      <w:r>
        <w:rPr>
          <w:rFonts w:eastAsia="方正仿宋_GBK"/>
          <w:sz w:val="32"/>
          <w:szCs w:val="32"/>
        </w:rPr>
        <w:t>合</w:t>
      </w:r>
      <w:r>
        <w:rPr>
          <w:rFonts w:eastAsia="方正仿宋_GBK" w:hint="eastAsia"/>
          <w:sz w:val="32"/>
          <w:szCs w:val="32"/>
        </w:rPr>
        <w:t>计1883.37万元。其中</w:t>
      </w:r>
      <w:r>
        <w:rPr>
          <w:rFonts w:eastAsia="方正仿宋_GBK" w:hint="eastAsia"/>
          <w:b/>
          <w:bCs/>
          <w:sz w:val="32"/>
          <w:szCs w:val="32"/>
        </w:rPr>
        <w:t>：</w:t>
      </w:r>
      <w:r>
        <w:rPr>
          <w:rFonts w:eastAsia="方正仿宋_GBK" w:hint="eastAsia"/>
          <w:bCs/>
          <w:sz w:val="32"/>
          <w:szCs w:val="32"/>
        </w:rPr>
        <w:t>财政拨款收入580.70</w:t>
      </w:r>
      <w:r>
        <w:rPr>
          <w:rFonts w:eastAsia="方正仿宋_GBK" w:hint="eastAsia"/>
          <w:sz w:val="32"/>
          <w:szCs w:val="32"/>
        </w:rPr>
        <w:t>万元，占30.83%；</w:t>
      </w:r>
      <w:r>
        <w:rPr>
          <w:rFonts w:eastAsia="方正仿宋_GBK" w:hint="eastAsia"/>
          <w:bCs/>
          <w:sz w:val="32"/>
          <w:szCs w:val="32"/>
        </w:rPr>
        <w:t>其他收入1302.6</w:t>
      </w:r>
      <w:r>
        <w:rPr>
          <w:rFonts w:eastAsia="方正仿宋_GBK"/>
          <w:bCs/>
          <w:sz w:val="32"/>
          <w:szCs w:val="32"/>
        </w:rPr>
        <w:t>7</w:t>
      </w:r>
      <w:r>
        <w:rPr>
          <w:rFonts w:eastAsia="方正仿宋_GBK" w:hint="eastAsia"/>
          <w:bCs/>
          <w:kern w:val="0"/>
          <w:sz w:val="32"/>
          <w:szCs w:val="32"/>
        </w:rPr>
        <w:t>万元，占</w:t>
      </w:r>
      <w:r>
        <w:rPr>
          <w:rFonts w:eastAsia="方正仿宋_GBK" w:hint="eastAsia"/>
          <w:sz w:val="32"/>
          <w:szCs w:val="32"/>
        </w:rPr>
        <w:t>69.17</w:t>
      </w:r>
      <w:r>
        <w:rPr>
          <w:rFonts w:eastAsia="方正仿宋_GBK" w:hint="eastAsia"/>
          <w:bCs/>
          <w:kern w:val="0"/>
          <w:sz w:val="32"/>
          <w:szCs w:val="32"/>
        </w:rPr>
        <w:t>%</w:t>
      </w:r>
      <w:r>
        <w:rPr>
          <w:rFonts w:eastAsia="方正仿宋_GBK"/>
          <w:bCs/>
          <w:kern w:val="0"/>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图2：收入决算</w:t>
      </w:r>
    </w:p>
    <w:p>
      <w:pPr>
        <w:autoSpaceDN w:val="0"/>
        <w:spacing w:line="560" w:lineRule="exact"/>
        <w:ind w:firstLineChars="200" w:firstLine="420"/>
        <w:jc w:val="center"/>
      </w:pPr>
      <w:r>
        <w:drawing>
          <wp:anchor distT="0" distB="0" distL="85723" distR="85723" simplePos="0" relativeHeight="26" behindDoc="0" locked="0" layoutInCell="1" hidden="0" allowOverlap="1">
            <wp:simplePos x="0" y="0"/>
            <wp:positionH relativeFrom="column">
              <wp:posOffset>1033145</wp:posOffset>
            </wp:positionH>
            <wp:positionV relativeFrom="paragraph">
              <wp:posOffset>36193</wp:posOffset>
            </wp:positionV>
            <wp:extent cx="3881752" cy="2548255"/>
            <wp:effectExtent l="0" t="0" r="0" b="0"/>
            <wp:wrapSquare wrapText="bothSides"/>
            <wp:docPr id="37" name="图片 37" descr="1211241761660182829831.emf"/>
            <wp:cNvGraphicFramePr>
              <a:graphicFrameLocks noChangeAspect="1"/>
            </wp:cNvGraphicFramePr>
            <a:graphic>
              <a:graphicData uri="http://schemas.openxmlformats.org/drawingml/2006/picture">
                <pic:pic>
                  <pic:nvPicPr>
                    <pic:cNvPr id="39" name="图片 39"/>
                    <pic:cNvPicPr/>
                  </pic:nvPicPr>
                  <pic:blipFill>
                    <a:blip r:embed="rId8"/>
                    <a:stretch>
                      <a:fillRect/>
                    </a:stretch>
                  </pic:blipFill>
                  <pic:spPr>
                    <a:xfrm rot="0">
                      <a:off x="0" y="0"/>
                      <a:ext cx="3881752" cy="2548255"/>
                    </a:xfrm>
                    <a:prstGeom prst="rect"/>
                    <a:noFill/>
                    <a:ln w="9525" cmpd="sng" cap="flat">
                      <a:solidFill>
                        <a:srgbClr val="000000"/>
                      </a:solidFill>
                      <a:prstDash val="solid"/>
                      <a:miter/>
                    </a:ln>
                  </pic:spPr>
                </pic:pic>
              </a:graphicData>
            </a:graphic>
          </wp:anchor>
        </w:drawing>
      </w:r>
    </w:p>
    <w:p>
      <w:pPr>
        <w:autoSpaceDN w:val="0"/>
        <w:spacing w:line="560" w:lineRule="exact"/>
        <w:rPr>
          <w:rFonts w:eastAsia="方正仿宋_GBK"/>
          <w:spacing w:val="-6"/>
          <w:sz w:val="32"/>
          <w:szCs w:val="32"/>
        </w:rPr>
      </w:pPr>
      <w:r>
        <w:rPr>
          <w:rFonts w:eastAsia="方正仿宋_GBK"/>
          <w:spacing w:val="-6"/>
          <w:sz w:val="32"/>
          <w:szCs w:val="32"/>
        </w:rPr>
        <w:t xml:space="preserve">    </w:t>
      </w: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ind w:firstLineChars="200" w:firstLine="640"/>
        <w:rPr>
          <w:rFonts w:ascii="方正黑体_GBK" w:eastAsia="方正黑体_GBK"/>
          <w:spacing w:val="-6"/>
          <w:sz w:val="32"/>
          <w:szCs w:val="32"/>
        </w:rPr>
      </w:pPr>
      <w:r>
        <w:rPr>
          <w:rFonts w:ascii="方正黑体_GBK" w:eastAsia="方正黑体_GBK" w:hint="eastAsia"/>
          <w:sz w:val="32"/>
          <w:szCs w:val="32"/>
        </w:rPr>
        <w:t>三、支出决算情况说明</w:t>
      </w:r>
    </w:p>
    <w:p>
      <w:pPr>
        <w:autoSpaceDN w:val="0"/>
        <w:spacing w:line="560" w:lineRule="exact"/>
        <w:ind w:firstLineChars="200" w:firstLine="640"/>
        <w:rPr>
          <w:rFonts w:eastAsia="方正仿宋_GBK"/>
          <w:sz w:val="32"/>
          <w:szCs w:val="32"/>
        </w:rPr>
      </w:pPr>
      <w:r>
        <w:rPr>
          <w:rFonts w:eastAsia="方正仿宋_GBK"/>
          <w:sz w:val="32"/>
          <w:szCs w:val="32"/>
        </w:rPr>
        <w:t>20</w:t>
      </w:r>
      <w:r>
        <w:rPr>
          <w:rFonts w:eastAsia="方正仿宋_GBK" w:hint="eastAsia"/>
          <w:sz w:val="32"/>
          <w:szCs w:val="32"/>
        </w:rPr>
        <w:t>22年度支出合计1036.61万元，其中：基本支出994.61万元，占</w:t>
      </w:r>
      <w:r>
        <w:rPr>
          <w:rFonts w:eastAsia="方正仿宋_GBK"/>
          <w:sz w:val="32"/>
          <w:szCs w:val="32"/>
        </w:rPr>
        <w:t>95.</w:t>
      </w:r>
      <w:r>
        <w:rPr>
          <w:rFonts w:eastAsia="方正仿宋_GBK" w:hint="eastAsia"/>
          <w:sz w:val="32"/>
          <w:szCs w:val="32"/>
        </w:rPr>
        <w:t>95%；项目支出42.00万元，占</w:t>
      </w:r>
      <w:r>
        <w:rPr>
          <w:rFonts w:eastAsia="方正仿宋_GBK"/>
          <w:sz w:val="32"/>
          <w:szCs w:val="32"/>
        </w:rPr>
        <w:t>4.</w:t>
      </w:r>
      <w:r>
        <w:rPr>
          <w:rFonts w:eastAsia="方正仿宋_GBK" w:hint="eastAsia"/>
          <w:sz w:val="32"/>
          <w:szCs w:val="32"/>
        </w:rPr>
        <w:t>05%</w:t>
      </w:r>
      <w:r>
        <w:rPr>
          <w:rFonts w:eastAsia="方正仿宋_GBK"/>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图3：支出决算</w:t>
      </w:r>
    </w:p>
    <w:p>
      <w:pPr>
        <w:autoSpaceDN w:val="0"/>
        <w:spacing w:line="560" w:lineRule="exact"/>
        <w:ind w:firstLineChars="200" w:firstLine="420"/>
        <w:jc w:val="center"/>
      </w:pPr>
      <w:r>
        <w:drawing>
          <wp:anchor distT="0" distB="0" distL="85723" distR="85723" simplePos="0" relativeHeight="25" behindDoc="0" locked="0" layoutInCell="1" hidden="0" allowOverlap="1">
            <wp:simplePos x="0" y="0"/>
            <wp:positionH relativeFrom="column">
              <wp:posOffset>913765</wp:posOffset>
            </wp:positionH>
            <wp:positionV relativeFrom="paragraph">
              <wp:posOffset>60960</wp:posOffset>
            </wp:positionV>
            <wp:extent cx="3886835" cy="2588260"/>
            <wp:effectExtent l="0" t="0" r="0" b="0"/>
            <wp:wrapSquare wrapText="bothSides"/>
            <wp:docPr id="40" name="图片 40" descr="5320248381660182829831.emf"/>
            <wp:cNvGraphicFramePr>
              <a:graphicFrameLocks noChangeAspect="1"/>
            </wp:cNvGraphicFramePr>
            <a:graphic>
              <a:graphicData uri="http://schemas.openxmlformats.org/drawingml/2006/picture">
                <pic:pic>
                  <pic:nvPicPr>
                    <pic:cNvPr id="42" name="图片 42"/>
                    <pic:cNvPicPr/>
                  </pic:nvPicPr>
                  <pic:blipFill>
                    <a:blip r:embed="rId9"/>
                    <a:stretch>
                      <a:fillRect/>
                    </a:stretch>
                  </pic:blipFill>
                  <pic:spPr>
                    <a:xfrm rot="0">
                      <a:off x="0" y="0"/>
                      <a:ext cx="3886835" cy="2588260"/>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四、财政拨款收入支出决算总体情况说明</w:t>
      </w:r>
    </w:p>
    <w:p>
      <w:pPr>
        <w:autoSpaceDN w:val="0"/>
        <w:spacing w:line="560" w:lineRule="exact"/>
        <w:ind w:firstLineChars="200" w:firstLine="640"/>
        <w:rPr>
          <w:rFonts w:eastAsia="方正仿宋_GBK"/>
          <w:sz w:val="32"/>
          <w:szCs w:val="32"/>
        </w:rPr>
      </w:pPr>
      <w:r>
        <w:rPr>
          <w:rFonts w:eastAsia="方正仿宋_GBK" w:hint="eastAsia"/>
          <w:sz w:val="32"/>
          <w:szCs w:val="32"/>
        </w:rPr>
        <w:t>2022年度财政拨款收、支总计580.70万元。与20</w:t>
      </w:r>
      <w:r>
        <w:rPr>
          <w:rFonts w:eastAsia="方正仿宋_GBK"/>
          <w:sz w:val="32"/>
          <w:szCs w:val="32"/>
        </w:rPr>
        <w:t>2</w:t>
      </w:r>
      <w:r>
        <w:rPr>
          <w:rFonts w:eastAsia="方正仿宋_GBK" w:hint="eastAsia"/>
          <w:sz w:val="32"/>
          <w:szCs w:val="32"/>
        </w:rPr>
        <w:t>1年度相比，财政拨款收、支总计各增加82.28万元，增长16.51%</w:t>
      </w:r>
      <w:r>
        <w:rPr>
          <w:rFonts w:eastAsia="方正仿宋_GBK"/>
          <w:sz w:val="32"/>
          <w:szCs w:val="32"/>
        </w:rPr>
        <w:t>，</w:t>
      </w:r>
      <w:r>
        <w:rPr>
          <w:rFonts w:eastAsia="方正仿宋_GBK" w:hint="eastAsia"/>
          <w:sz w:val="32"/>
          <w:szCs w:val="32"/>
        </w:rPr>
        <w:t>主要</w:t>
      </w:r>
      <w:r>
        <w:rPr>
          <w:rFonts w:eastAsia="方正仿宋_GBK"/>
          <w:sz w:val="32"/>
          <w:szCs w:val="32"/>
        </w:rPr>
        <w:t>是</w:t>
      </w:r>
      <w:r>
        <w:rPr>
          <w:rFonts w:eastAsia="方正仿宋_GBK" w:hint="eastAsia"/>
          <w:sz w:val="32"/>
          <w:szCs w:val="32"/>
        </w:rPr>
        <w:t>基本支出有增长</w:t>
      </w:r>
      <w:r>
        <w:rPr>
          <w:rFonts w:eastAsia="方正仿宋_GBK"/>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图4：财政拨款收、支决算总计变动情况</w:t>
      </w:r>
    </w:p>
    <w:p>
      <w:pPr>
        <w:autoSpaceDN w:val="0"/>
        <w:spacing w:line="560" w:lineRule="exact"/>
        <w:jc w:val="center"/>
        <w:rPr>
          <w:rFonts w:eastAsia="方正仿宋_GBK"/>
          <w:sz w:val="32"/>
          <w:szCs w:val="32"/>
        </w:rPr>
      </w:pPr>
      <w:r>
        <w:rPr>
          <w:rFonts w:ascii="方正楷体_GBK" w:eastAsia="方正楷体_GBK" w:hint="eastAsia"/>
          <w:b/>
          <w:bCs/>
          <w:sz w:val="32"/>
          <w:szCs w:val="32"/>
        </w:rPr>
        <w:t>（单位：万元）</w:t>
      </w:r>
    </w:p>
    <w:p>
      <w:pPr>
        <w:autoSpaceDN w:val="0"/>
        <w:spacing w:line="560" w:lineRule="exact"/>
        <w:jc w:val="center"/>
      </w:pPr>
      <w:r>
        <w:drawing>
          <wp:anchor distT="0" distB="0" distL="85723" distR="85723" simplePos="0" relativeHeight="28" behindDoc="0" locked="0" layoutInCell="1" hidden="0" allowOverlap="1">
            <wp:simplePos x="0" y="0"/>
            <wp:positionH relativeFrom="column">
              <wp:posOffset>1028700</wp:posOffset>
            </wp:positionH>
            <wp:positionV relativeFrom="paragraph">
              <wp:posOffset>30480</wp:posOffset>
            </wp:positionV>
            <wp:extent cx="3771900" cy="2480310"/>
            <wp:effectExtent l="0" t="0" r="0" b="0"/>
            <wp:wrapSquare wrapText="bothSides"/>
            <wp:docPr id="43" name="图片 43" descr="6428878801660182829831.emf"/>
            <wp:cNvGraphicFramePr>
              <a:graphicFrameLocks noChangeAspect="1"/>
            </wp:cNvGraphicFramePr>
            <a:graphic>
              <a:graphicData uri="http://schemas.openxmlformats.org/drawingml/2006/picture">
                <pic:pic>
                  <pic:nvPicPr>
                    <pic:cNvPr id="45" name="图片 45"/>
                    <pic:cNvPicPr/>
                  </pic:nvPicPr>
                  <pic:blipFill>
                    <a:blip r:embed="rId10"/>
                    <a:stretch>
                      <a:fillRect/>
                    </a:stretch>
                  </pic:blipFill>
                  <pic:spPr>
                    <a:xfrm rot="0">
                      <a:off x="0" y="0"/>
                      <a:ext cx="3771900" cy="2480310"/>
                    </a:xfrm>
                    <a:prstGeom prst="rect"/>
                    <a:noFill/>
                    <a:ln w="9525" cmpd="sng" cap="flat">
                      <a:solidFill>
                        <a:srgbClr val="000000"/>
                      </a:solidFill>
                      <a:prstDash val="solid"/>
                      <a:miter/>
                    </a:ln>
                  </pic:spPr>
                </pic:pic>
              </a:graphicData>
            </a:graphic>
          </wp:anchor>
        </w:drawing>
      </w: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pP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五、一般公共预算财政拨款支出决算情况说明</w:t>
      </w:r>
    </w:p>
    <w:p>
      <w:pPr>
        <w:autoSpaceDN w:val="0"/>
        <w:spacing w:line="560" w:lineRule="exact"/>
        <w:ind w:left="640"/>
        <w:rPr>
          <w:rFonts w:ascii="方正楷体_GBK" w:eastAsia="方正楷体_GBK"/>
          <w:kern w:val="0"/>
          <w:sz w:val="32"/>
          <w:szCs w:val="32"/>
        </w:rPr>
      </w:pPr>
      <w:r>
        <w:rPr>
          <w:rFonts w:ascii="方正楷体_GBK" w:eastAsia="方正楷体_GBK" w:hint="eastAsia"/>
          <w:kern w:val="0"/>
          <w:sz w:val="32"/>
          <w:szCs w:val="32"/>
        </w:rPr>
        <w:t>（一）财政拨款支出决算总体情况。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2022年度财政拨款支出580.70万元，占本年支出合计的</w:t>
      </w:r>
      <w:r>
        <w:rPr>
          <w:rFonts w:eastAsia="方正仿宋_GBK"/>
          <w:sz w:val="32"/>
          <w:szCs w:val="32"/>
        </w:rPr>
        <w:t>5</w:t>
      </w:r>
      <w:r>
        <w:rPr>
          <w:rFonts w:eastAsia="方正仿宋_GBK" w:hint="eastAsia"/>
          <w:sz w:val="32"/>
          <w:szCs w:val="32"/>
        </w:rPr>
        <w:t>6.02</w:t>
      </w:r>
      <w:r>
        <w:rPr>
          <w:rFonts w:eastAsia="方正仿宋_GBK" w:hint="eastAsia"/>
          <w:kern w:val="0"/>
          <w:sz w:val="32"/>
          <w:szCs w:val="32"/>
        </w:rPr>
        <w:t>%。与20</w:t>
      </w:r>
      <w:r>
        <w:rPr>
          <w:rFonts w:eastAsia="方正仿宋_GBK"/>
          <w:kern w:val="0"/>
          <w:sz w:val="32"/>
          <w:szCs w:val="32"/>
        </w:rPr>
        <w:t>2</w:t>
      </w:r>
      <w:r>
        <w:rPr>
          <w:rFonts w:eastAsia="方正仿宋_GBK" w:hint="eastAsia"/>
          <w:kern w:val="0"/>
          <w:sz w:val="32"/>
          <w:szCs w:val="32"/>
        </w:rPr>
        <w:t>1年度相比，财政拨款支出增加</w:t>
      </w:r>
      <w:r>
        <w:rPr>
          <w:rFonts w:eastAsia="方正仿宋_GBK" w:hint="eastAsia"/>
          <w:sz w:val="32"/>
          <w:szCs w:val="32"/>
        </w:rPr>
        <w:t>82.28</w:t>
      </w:r>
      <w:r>
        <w:rPr>
          <w:rFonts w:eastAsia="方正仿宋_GBK" w:hint="eastAsia"/>
          <w:kern w:val="0"/>
          <w:sz w:val="32"/>
          <w:szCs w:val="32"/>
        </w:rPr>
        <w:t>万元，</w:t>
      </w:r>
      <w:r>
        <w:rPr>
          <w:rFonts w:eastAsia="方正仿宋_GBK" w:hint="eastAsia"/>
          <w:sz w:val="32"/>
          <w:szCs w:val="32"/>
        </w:rPr>
        <w:t>增长16.51%</w:t>
      </w:r>
      <w:r>
        <w:rPr>
          <w:rFonts w:eastAsia="方正仿宋_GBK" w:hint="eastAsia"/>
          <w:kern w:val="0"/>
          <w:sz w:val="32"/>
          <w:szCs w:val="32"/>
        </w:rPr>
        <w:t>，</w:t>
      </w:r>
      <w:r>
        <w:rPr>
          <w:rFonts w:eastAsia="方正仿宋_GBK" w:hint="eastAsia"/>
          <w:sz w:val="32"/>
          <w:szCs w:val="32"/>
        </w:rPr>
        <w:t>主要</w:t>
      </w:r>
      <w:r>
        <w:rPr>
          <w:rFonts w:eastAsia="方正仿宋_GBK"/>
          <w:sz w:val="32"/>
          <w:szCs w:val="32"/>
        </w:rPr>
        <w:t>是</w:t>
      </w:r>
      <w:r>
        <w:rPr>
          <w:rFonts w:eastAsia="方正仿宋_GBK" w:hint="eastAsia"/>
          <w:sz w:val="32"/>
          <w:szCs w:val="32"/>
        </w:rPr>
        <w:t>基本支出有所增长</w:t>
      </w:r>
      <w:r>
        <w:rPr>
          <w:rFonts w:eastAsia="方正仿宋_GBK"/>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图5：财政拨款支出决算变动情况</w:t>
      </w:r>
    </w:p>
    <w:p>
      <w:pPr>
        <w:autoSpaceDN w:val="0"/>
        <w:spacing w:line="560" w:lineRule="exact"/>
        <w:jc w:val="center"/>
        <w:rPr>
          <w:rFonts w:eastAsia="方正仿宋_GBK"/>
          <w:sz w:val="32"/>
          <w:szCs w:val="32"/>
        </w:rPr>
      </w:pPr>
      <w:r>
        <w:rPr>
          <w:rFonts w:ascii="方正楷体_GBK" w:eastAsia="方正楷体_GBK" w:hint="eastAsia"/>
          <w:b/>
          <w:bCs/>
          <w:sz w:val="32"/>
          <w:szCs w:val="32"/>
        </w:rPr>
        <w:t>（单位：万元）</w:t>
      </w:r>
    </w:p>
    <w:p>
      <w:pPr>
        <w:autoSpaceDN w:val="0"/>
        <w:spacing w:line="560" w:lineRule="exact"/>
        <w:rPr>
          <w:rFonts w:eastAsia="方正仿宋_GBK"/>
          <w:sz w:val="32"/>
          <w:szCs w:val="32"/>
        </w:rPr>
      </w:pPr>
      <w:r>
        <w:drawing>
          <wp:anchor distT="0" distB="0" distL="85723" distR="85723" simplePos="0" relativeHeight="29" behindDoc="0" locked="0" layoutInCell="1" hidden="0" allowOverlap="1">
            <wp:simplePos x="0" y="0"/>
            <wp:positionH relativeFrom="column">
              <wp:posOffset>918210</wp:posOffset>
            </wp:positionH>
            <wp:positionV relativeFrom="paragraph">
              <wp:posOffset>152400</wp:posOffset>
            </wp:positionV>
            <wp:extent cx="3952240" cy="2771140"/>
            <wp:effectExtent l="0" t="0" r="0" b="0"/>
            <wp:wrapTight wrapText="bothSides">
              <wp:wrapPolygon>
                <wp:start x="-20" y="-69"/>
                <wp:lineTo x="-20" y="21534"/>
                <wp:lineTo x="21582" y="21534"/>
                <wp:lineTo x="21582" y="-69"/>
                <wp:lineTo x="-20" y="-69"/>
              </wp:wrapPolygon>
            </wp:wrapTight>
            <wp:docPr id="46" name="图片 46" descr="1176911561660182829831.emf"/>
            <wp:cNvGraphicFramePr>
              <a:graphicFrameLocks noChangeAspect="1"/>
            </wp:cNvGraphicFramePr>
            <a:graphic>
              <a:graphicData uri="http://schemas.openxmlformats.org/drawingml/2006/picture">
                <pic:pic>
                  <pic:nvPicPr>
                    <pic:cNvPr id="48" name="图片 48"/>
                    <pic:cNvPicPr/>
                  </pic:nvPicPr>
                  <pic:blipFill>
                    <a:blip r:embed="rId11"/>
                    <a:stretch>
                      <a:fillRect/>
                    </a:stretch>
                  </pic:blipFill>
                  <pic:spPr>
                    <a:xfrm rot="0">
                      <a:off x="0" y="0"/>
                      <a:ext cx="3952240" cy="2771140"/>
                    </a:xfrm>
                    <a:prstGeom prst="rect"/>
                    <a:noFill/>
                    <a:ln w="9525" cmpd="sng" cap="flat">
                      <a:solidFill>
                        <a:srgbClr val="000000"/>
                      </a:solidFill>
                      <a:prstDash val="solid"/>
                      <a:miter/>
                    </a:ln>
                  </pic:spPr>
                </pic:pic>
              </a:graphicData>
            </a:graphic>
          </wp:anchor>
        </w:drawing>
      </w: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ind w:left="640"/>
        <w:rPr>
          <w:rFonts w:ascii="方正楷体_GBK" w:eastAsia="方正楷体_GBK"/>
          <w:kern w:val="0"/>
          <w:sz w:val="32"/>
          <w:szCs w:val="32"/>
        </w:rPr>
      </w:pPr>
      <w:r>
        <w:rPr>
          <w:rFonts w:ascii="方正楷体_GBK" w:eastAsia="方正楷体_GBK" w:hint="eastAsia"/>
          <w:kern w:val="0"/>
          <w:sz w:val="32"/>
          <w:szCs w:val="32"/>
        </w:rPr>
        <w:t>（二）财政拨款支出决算结构情况。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2022年度财政拨款支出580.70万元，主要用于以下方面：一般公共服务（类）支出</w:t>
      </w:r>
      <w:r>
        <w:rPr>
          <w:rFonts w:eastAsia="方正仿宋_GBK" w:hint="eastAsia"/>
          <w:sz w:val="32"/>
          <w:szCs w:val="32"/>
        </w:rPr>
        <w:t>580.70</w:t>
      </w:r>
      <w:r>
        <w:rPr>
          <w:rFonts w:eastAsia="方正仿宋_GBK" w:hint="eastAsia"/>
          <w:kern w:val="0"/>
          <w:sz w:val="32"/>
          <w:szCs w:val="32"/>
        </w:rPr>
        <w:t>万元，占</w:t>
      </w:r>
      <w:r>
        <w:rPr>
          <w:rFonts w:eastAsia="方正仿宋_GBK"/>
          <w:sz w:val="32"/>
          <w:szCs w:val="32"/>
        </w:rPr>
        <w:t>100</w:t>
      </w:r>
      <w:r>
        <w:rPr>
          <w:rFonts w:eastAsia="方正仿宋_GBK" w:hint="eastAsia"/>
          <w:kern w:val="0"/>
          <w:sz w:val="32"/>
          <w:szCs w:val="32"/>
        </w:rPr>
        <w:t>%</w:t>
      </w:r>
      <w:r>
        <w:rPr>
          <w:rFonts w:eastAsia="方正仿宋_GBK"/>
          <w:kern w:val="0"/>
          <w:sz w:val="32"/>
          <w:szCs w:val="32"/>
        </w:rPr>
        <w:t>。</w:t>
      </w:r>
    </w:p>
    <w:p>
      <w:pPr>
        <w:tabs>
          <w:tab w:val="left" w:pos="4157"/>
        </w:tabs>
        <w:autoSpaceDN w:val="0"/>
        <w:spacing w:line="56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（三）财政拨款支出决算具体情况。</w:t>
      </w:r>
    </w:p>
    <w:p>
      <w:pPr>
        <w:tabs>
          <w:tab w:val="left" w:pos="4157"/>
        </w:tabs>
        <w:autoSpaceDN w:val="0"/>
        <w:spacing w:line="560" w:lineRule="exact"/>
        <w:ind w:firstLineChars="200" w:firstLine="640"/>
        <w:rPr>
          <w:rFonts w:eastAsia="方正仿宋_GBK" w:hint="eastAsia"/>
          <w:kern w:val="0"/>
          <w:sz w:val="32"/>
          <w:szCs w:val="32"/>
        </w:rPr>
      </w:pPr>
      <w:r>
        <w:rPr>
          <w:rFonts w:eastAsia="方正仿宋_GBK" w:hint="eastAsia"/>
          <w:kern w:val="0"/>
          <w:sz w:val="32"/>
          <w:szCs w:val="32"/>
        </w:rPr>
        <w:t>2022年度财政拨款支出预算数为580.7万元</w:t>
      </w:r>
      <w:r>
        <w:rPr>
          <w:rFonts w:eastAsia="方正仿宋_GBK"/>
          <w:kern w:val="0"/>
          <w:sz w:val="32"/>
          <w:szCs w:val="32"/>
        </w:rPr>
        <w:t>（其中</w:t>
      </w:r>
      <w:r>
        <w:rPr>
          <w:rFonts w:eastAsia="方正仿宋_GBK" w:hint="eastAsia"/>
          <w:kern w:val="0"/>
          <w:sz w:val="32"/>
          <w:szCs w:val="32"/>
        </w:rPr>
        <w:t>年初预算为575.97万元，调整</w:t>
      </w:r>
      <w:r>
        <w:rPr>
          <w:rFonts w:eastAsia="方正仿宋_GBK"/>
          <w:kern w:val="0"/>
          <w:sz w:val="32"/>
          <w:szCs w:val="32"/>
        </w:rPr>
        <w:t>预算</w:t>
      </w:r>
      <w:r>
        <w:rPr>
          <w:rFonts w:eastAsia="方正仿宋_GBK" w:hint="eastAsia"/>
          <w:kern w:val="0"/>
          <w:sz w:val="32"/>
          <w:szCs w:val="32"/>
        </w:rPr>
        <w:t>4.73万元</w:t>
      </w:r>
      <w:r>
        <w:rPr>
          <w:rFonts w:eastAsia="方正仿宋_GBK"/>
          <w:kern w:val="0"/>
          <w:sz w:val="32"/>
          <w:szCs w:val="32"/>
        </w:rPr>
        <w:t>）</w:t>
      </w:r>
      <w:r>
        <w:rPr>
          <w:rFonts w:eastAsia="方正仿宋_GBK" w:hint="eastAsia"/>
          <w:kern w:val="0"/>
          <w:sz w:val="32"/>
          <w:szCs w:val="32"/>
        </w:rPr>
        <w:t>，支出决算为580.70万元，完成年初预算的100%。其中：</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b/>
          <w:bCs/>
          <w:kern w:val="0"/>
          <w:sz w:val="32"/>
          <w:szCs w:val="32"/>
        </w:rPr>
        <w:t>（1）一般公共服务支出（类）海关事务（款）行政运行（项）</w:t>
      </w:r>
      <w:r>
        <w:rPr>
          <w:rFonts w:eastAsia="方正仿宋_GBK"/>
          <w:b/>
          <w:bCs/>
          <w:kern w:val="0"/>
          <w:sz w:val="32"/>
          <w:szCs w:val="32"/>
        </w:rPr>
        <w:t>。</w:t>
      </w:r>
      <w:r>
        <w:rPr>
          <w:rFonts w:eastAsia="方正仿宋_GBK" w:hint="eastAsia"/>
          <w:bCs/>
          <w:kern w:val="0"/>
          <w:sz w:val="32"/>
          <w:szCs w:val="32"/>
        </w:rPr>
        <w:t>预算数为538.7万元（其中</w:t>
      </w:r>
      <w:r>
        <w:rPr>
          <w:rFonts w:eastAsia="方正仿宋_GBK" w:hint="eastAsia"/>
          <w:kern w:val="0"/>
          <w:sz w:val="32"/>
          <w:szCs w:val="32"/>
        </w:rPr>
        <w:t>年</w:t>
      </w:r>
      <w:r>
        <w:rPr>
          <w:rFonts w:eastAsia="方正仿宋_GBK" w:hint="eastAsia"/>
          <w:kern w:val="0"/>
          <w:sz w:val="32"/>
          <w:szCs w:val="32"/>
        </w:rPr>
        <w:t>初预算为</w:t>
      </w:r>
      <w:r>
        <w:rPr>
          <w:rFonts w:eastAsia="方正仿宋_GBK"/>
          <w:kern w:val="0"/>
          <w:sz w:val="32"/>
          <w:szCs w:val="32"/>
        </w:rPr>
        <w:t>5</w:t>
      </w:r>
      <w:bookmarkStart w:id="0" w:name="_GoBack"/>
      <w:bookmarkEnd w:id="0"/>
      <w:r>
        <w:rPr>
          <w:rFonts w:eastAsia="方正仿宋_GBK"/>
          <w:kern w:val="0"/>
          <w:sz w:val="32"/>
          <w:szCs w:val="32"/>
        </w:rPr>
        <w:t>33.97</w:t>
      </w:r>
      <w:r>
        <w:rPr>
          <w:rFonts w:eastAsia="方正仿宋_GBK" w:hint="eastAsia"/>
          <w:kern w:val="0"/>
          <w:sz w:val="32"/>
          <w:szCs w:val="32"/>
        </w:rPr>
        <w:t>万元</w:t>
      </w:r>
      <w:r>
        <w:rPr>
          <w:rFonts w:eastAsia="方正仿宋_GBK"/>
          <w:kern w:val="0"/>
          <w:sz w:val="32"/>
          <w:szCs w:val="32"/>
        </w:rPr>
        <w:t>，调整预算为4.73万元）</w:t>
      </w:r>
      <w:r>
        <w:rPr>
          <w:rFonts w:eastAsia="方正仿宋_GBK" w:hint="eastAsia"/>
          <w:kern w:val="0"/>
          <w:sz w:val="32"/>
          <w:szCs w:val="32"/>
        </w:rPr>
        <w:t>，支出决算为538.70万元，完成年初预算的</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b/>
          <w:bCs/>
          <w:kern w:val="0"/>
          <w:sz w:val="32"/>
          <w:szCs w:val="32"/>
        </w:rPr>
      </w:pPr>
      <w:r>
        <w:rPr>
          <w:rFonts w:eastAsia="方正仿宋_GBK" w:hint="eastAsia"/>
          <w:b/>
          <w:bCs/>
          <w:kern w:val="0"/>
          <w:sz w:val="32"/>
          <w:szCs w:val="32"/>
        </w:rPr>
        <w:t>（</w:t>
      </w:r>
      <w:r>
        <w:rPr>
          <w:rFonts w:eastAsia="方正仿宋_GBK"/>
          <w:b/>
          <w:bCs/>
          <w:kern w:val="0"/>
          <w:sz w:val="32"/>
          <w:szCs w:val="32"/>
        </w:rPr>
        <w:t>2</w:t>
      </w:r>
      <w:r>
        <w:rPr>
          <w:rFonts w:eastAsia="方正仿宋_GBK" w:hint="eastAsia"/>
          <w:b/>
          <w:bCs/>
          <w:kern w:val="0"/>
          <w:sz w:val="32"/>
          <w:szCs w:val="32"/>
        </w:rPr>
        <w:t>）一般公共服务支出（类）海关事务（款）</w:t>
      </w:r>
      <w:r>
        <w:rPr>
          <w:rFonts w:eastAsia="方正仿宋_GBK"/>
          <w:b/>
          <w:bCs/>
          <w:kern w:val="0"/>
          <w:sz w:val="32"/>
          <w:szCs w:val="32"/>
        </w:rPr>
        <w:t>海关关务</w:t>
      </w:r>
      <w:r>
        <w:rPr>
          <w:rFonts w:eastAsia="方正仿宋_GBK" w:hint="eastAsia"/>
          <w:b/>
          <w:bCs/>
          <w:kern w:val="0"/>
          <w:sz w:val="32"/>
          <w:szCs w:val="32"/>
        </w:rPr>
        <w:t>（项）</w:t>
      </w:r>
      <w:r>
        <w:rPr>
          <w:rFonts w:eastAsia="方正仿宋_GBK"/>
          <w:b/>
          <w:bCs/>
          <w:kern w:val="0"/>
          <w:sz w:val="32"/>
          <w:szCs w:val="32"/>
        </w:rPr>
        <w:t>。</w:t>
      </w:r>
      <w:r>
        <w:rPr>
          <w:rFonts w:eastAsia="方正仿宋_GBK" w:hint="eastAsia"/>
          <w:kern w:val="0"/>
          <w:sz w:val="32"/>
          <w:szCs w:val="32"/>
        </w:rPr>
        <w:t>年初预算为42.00万元，支出决算为42.00万元，完成年初预算的</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六、一般公共预算财政拨款基本支出决算情况说明</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b/>
          <w:bCs/>
          <w:kern w:val="0"/>
          <w:sz w:val="32"/>
          <w:szCs w:val="32"/>
        </w:rPr>
        <w:t>2022年度财政拨款基本支出538.70万元</w:t>
      </w:r>
      <w:r>
        <w:rPr>
          <w:rFonts w:eastAsia="方正仿宋_GBK"/>
          <w:b/>
          <w:bCs/>
          <w:kern w:val="0"/>
          <w:sz w:val="32"/>
          <w:szCs w:val="32"/>
        </w:rPr>
        <w:t>。</w:t>
      </w:r>
      <w:r>
        <w:rPr>
          <w:rFonts w:eastAsia="方正仿宋_GBK" w:hint="eastAsia"/>
          <w:b/>
          <w:bCs/>
          <w:kern w:val="0"/>
          <w:sz w:val="32"/>
          <w:szCs w:val="32"/>
        </w:rPr>
        <w:t>其中：人员经费478.73万元，</w:t>
      </w:r>
      <w:r>
        <w:rPr>
          <w:rFonts w:eastAsia="方正仿宋_GBK" w:hint="eastAsia"/>
          <w:kern w:val="0"/>
          <w:sz w:val="32"/>
          <w:szCs w:val="32"/>
        </w:rPr>
        <w:t>主要包括基本工资、津贴补贴、奖金支出；</w:t>
      </w:r>
      <w:r>
        <w:rPr>
          <w:rFonts w:eastAsia="方正仿宋_GBK" w:hint="eastAsia"/>
          <w:b/>
          <w:bCs/>
          <w:kern w:val="0"/>
          <w:sz w:val="32"/>
          <w:szCs w:val="32"/>
        </w:rPr>
        <w:t>公用经费59.97万元，</w:t>
      </w:r>
      <w:r>
        <w:rPr>
          <w:rFonts w:eastAsia="方正仿宋_GBK" w:hint="eastAsia"/>
          <w:kern w:val="0"/>
          <w:sz w:val="32"/>
          <w:szCs w:val="32"/>
        </w:rPr>
        <w:t>主要包括办公费、印刷费、邮电费、</w:t>
      </w:r>
      <w:r>
        <w:rPr>
          <w:rFonts w:eastAsia="方正仿宋_GBK"/>
          <w:kern w:val="0"/>
          <w:sz w:val="32"/>
          <w:szCs w:val="32"/>
        </w:rPr>
        <w:t>物业管理费、</w:t>
      </w:r>
      <w:r>
        <w:rPr>
          <w:rFonts w:eastAsia="方正仿宋_GBK" w:hint="eastAsia"/>
          <w:kern w:val="0"/>
          <w:sz w:val="32"/>
          <w:szCs w:val="32"/>
        </w:rPr>
        <w:t>差旅费、维修（护）费、专用材料费、劳务费、委托业务费、工会经费、福利费、其他交通费用</w:t>
      </w:r>
      <w:r>
        <w:rPr>
          <w:rFonts w:eastAsia="方正仿宋_GBK"/>
          <w:kern w:val="0"/>
          <w:sz w:val="32"/>
          <w:szCs w:val="32"/>
        </w:rPr>
        <w:t>、</w:t>
      </w:r>
      <w:r>
        <w:rPr>
          <w:rFonts w:eastAsia="方正仿宋_GBK" w:hint="eastAsia"/>
          <w:kern w:val="0"/>
          <w:sz w:val="32"/>
          <w:szCs w:val="32"/>
        </w:rPr>
        <w:t>其他商品和服务支出</w:t>
      </w:r>
      <w:r>
        <w:rPr>
          <w:rFonts w:eastAsia="方正仿宋_GBK"/>
          <w:kern w:val="0"/>
          <w:sz w:val="32"/>
          <w:szCs w:val="32"/>
        </w:rPr>
        <w:t>。</w:t>
      </w:r>
    </w:p>
    <w:p>
      <w:pPr>
        <w:tabs>
          <w:tab w:val="left" w:pos="4157"/>
        </w:tabs>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七、一般公共预算财政拨款“三公”经费支出决算情况说明</w:t>
      </w:r>
    </w:p>
    <w:p>
      <w:pPr>
        <w:autoSpaceDN w:val="0"/>
        <w:spacing w:line="56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w:t>
      </w:r>
      <w:r>
        <w:rPr>
          <w:rFonts w:ascii="方正楷体_GBK" w:eastAsia="方正楷体_GBK" w:hint="eastAsia"/>
          <w:bCs/>
          <w:kern w:val="0"/>
          <w:sz w:val="32"/>
          <w:szCs w:val="32"/>
        </w:rPr>
        <w:t>“三</w:t>
      </w:r>
      <w:r>
        <w:rPr>
          <w:rFonts w:ascii="方正楷体_GBK" w:eastAsia="方正楷体_GBK" w:hint="eastAsia"/>
          <w:kern w:val="0"/>
          <w:sz w:val="32"/>
          <w:szCs w:val="32"/>
        </w:rPr>
        <w:t>公”经费财政拨款支出决算总体情况说明。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2022年度“三公”经费财政拨款支出预算为24.00万元，支出决算为23.26万元，完成预算的96.92%。</w:t>
      </w:r>
    </w:p>
    <w:p>
      <w:pPr>
        <w:autoSpaceDN w:val="0"/>
        <w:spacing w:line="56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w:t>
      </w:r>
      <w:r>
        <w:rPr>
          <w:rFonts w:ascii="方正楷体_GBK" w:eastAsia="方正楷体_GBK" w:hint="eastAsia"/>
          <w:bCs/>
          <w:kern w:val="0"/>
          <w:sz w:val="32"/>
          <w:szCs w:val="32"/>
        </w:rPr>
        <w:t>“三</w:t>
      </w:r>
      <w:r>
        <w:rPr>
          <w:rFonts w:ascii="方正楷体_GBK" w:eastAsia="方正楷体_GBK" w:hint="eastAsia"/>
          <w:kern w:val="0"/>
          <w:sz w:val="32"/>
          <w:szCs w:val="32"/>
        </w:rPr>
        <w:t>公”经费财政拨款支出决算具体情况说明。</w:t>
      </w:r>
    </w:p>
    <w:p>
      <w:pPr>
        <w:autoSpaceDN w:val="0"/>
        <w:spacing w:line="560" w:lineRule="exact"/>
        <w:ind w:firstLineChars="200" w:firstLine="640"/>
        <w:rPr>
          <w:rFonts w:eastAsia="方正仿宋_GBK"/>
          <w:sz w:val="32"/>
          <w:szCs w:val="32"/>
        </w:rPr>
      </w:pPr>
      <w:r>
        <w:rPr>
          <w:rFonts w:ascii="方正仿宋_GBK" w:eastAsia="方正仿宋_GBK" w:hint="eastAsia"/>
          <w:b/>
          <w:bCs/>
          <w:kern w:val="0"/>
          <w:sz w:val="32"/>
          <w:szCs w:val="32"/>
        </w:rPr>
        <w:t>1.公务用车购置及运行费。</w:t>
      </w:r>
      <w:r>
        <w:rPr>
          <w:rFonts w:eastAsia="方正仿宋_GBK" w:hint="eastAsia"/>
          <w:sz w:val="32"/>
          <w:szCs w:val="32"/>
        </w:rPr>
        <w:t>预算为</w:t>
      </w:r>
      <w:r>
        <w:rPr>
          <w:rFonts w:ascii="方正仿宋_GBK" w:eastAsia="方正仿宋_GBK" w:hint="eastAsia"/>
          <w:kern w:val="0"/>
          <w:sz w:val="32"/>
          <w:szCs w:val="32"/>
        </w:rPr>
        <w:t>24.00</w:t>
      </w:r>
      <w:r>
        <w:rPr>
          <w:rFonts w:eastAsia="方正仿宋_GBK" w:hint="eastAsia"/>
          <w:sz w:val="32"/>
          <w:szCs w:val="32"/>
        </w:rPr>
        <w:t>万元，支出决算为</w:t>
      </w:r>
      <w:r>
        <w:rPr>
          <w:rFonts w:ascii="方正仿宋_GBK" w:eastAsia="方正仿宋_GBK" w:hint="eastAsia"/>
          <w:kern w:val="0"/>
          <w:sz w:val="32"/>
          <w:szCs w:val="32"/>
        </w:rPr>
        <w:t>23.26</w:t>
      </w:r>
      <w:r>
        <w:rPr>
          <w:rFonts w:eastAsia="方正仿宋_GBK" w:hint="eastAsia"/>
          <w:sz w:val="32"/>
          <w:szCs w:val="32"/>
        </w:rPr>
        <w:t>万元，完成年初预算的</w:t>
      </w:r>
      <w:r>
        <w:rPr>
          <w:rFonts w:ascii="方正仿宋_GBK" w:eastAsia="方正仿宋_GBK" w:hint="eastAsia"/>
          <w:kern w:val="0"/>
          <w:sz w:val="32"/>
          <w:szCs w:val="32"/>
        </w:rPr>
        <w:t>96.92</w:t>
      </w:r>
      <w:r>
        <w:rPr>
          <w:rFonts w:eastAsia="方正仿宋_GBK" w:hint="eastAsia"/>
          <w:sz w:val="32"/>
          <w:szCs w:val="32"/>
        </w:rPr>
        <w:t>%。</w:t>
      </w:r>
    </w:p>
    <w:p>
      <w:pPr>
        <w:autoSpaceDN w:val="0"/>
        <w:spacing w:line="560" w:lineRule="exact"/>
        <w:ind w:firstLineChars="200" w:firstLine="640"/>
        <w:rPr>
          <w:rFonts w:eastAsia="方正仿宋_GBK"/>
          <w:sz w:val="32"/>
          <w:szCs w:val="32"/>
        </w:rPr>
      </w:pPr>
      <w:r>
        <w:rPr>
          <w:rFonts w:eastAsia="方正仿宋_GBK" w:hint="eastAsia"/>
          <w:b/>
          <w:bCs/>
          <w:sz w:val="32"/>
          <w:szCs w:val="32"/>
        </w:rPr>
        <w:t>公务用车运行维护费</w:t>
      </w:r>
      <w:r>
        <w:rPr>
          <w:rFonts w:eastAsia="方正仿宋_GBK"/>
          <w:b/>
          <w:bCs/>
          <w:sz w:val="32"/>
          <w:szCs w:val="32"/>
        </w:rPr>
        <w:t>。</w:t>
      </w:r>
      <w:r>
        <w:rPr>
          <w:rFonts w:eastAsia="方正仿宋_GBK" w:hint="eastAsia"/>
          <w:sz w:val="32"/>
          <w:szCs w:val="32"/>
        </w:rPr>
        <w:t>包括</w:t>
      </w:r>
      <w:r>
        <w:rPr>
          <w:rFonts w:ascii="方正仿宋_GBK" w:eastAsia="方正仿宋_GBK" w:hint="eastAsia"/>
          <w:kern w:val="0"/>
          <w:sz w:val="32"/>
          <w:szCs w:val="32"/>
        </w:rPr>
        <w:t>重庆港</w:t>
      </w:r>
      <w:r>
        <w:rPr>
          <w:rFonts w:eastAsia="方正仿宋_GBK" w:hint="eastAsia"/>
          <w:kern w:val="0"/>
          <w:sz w:val="32"/>
          <w:szCs w:val="32"/>
        </w:rPr>
        <w:t>海关</w:t>
      </w:r>
      <w:r>
        <w:rPr>
          <w:rFonts w:eastAsia="方正仿宋_GBK" w:hint="eastAsia"/>
          <w:sz w:val="32"/>
          <w:szCs w:val="32"/>
        </w:rPr>
        <w:t>按规定保留的公务用车车辆燃料费、维修费、过桥过路费、保险费等支出。截至2022年12月31日，</w:t>
      </w:r>
      <w:r>
        <w:rPr>
          <w:rFonts w:ascii="方正仿宋_GBK" w:eastAsia="方正仿宋_GBK" w:hint="eastAsia"/>
          <w:kern w:val="0"/>
          <w:sz w:val="32"/>
          <w:szCs w:val="32"/>
        </w:rPr>
        <w:t>重庆港</w:t>
      </w:r>
      <w:r>
        <w:rPr>
          <w:rFonts w:eastAsia="方正仿宋_GBK" w:hint="eastAsia"/>
          <w:kern w:val="0"/>
          <w:sz w:val="32"/>
          <w:szCs w:val="32"/>
        </w:rPr>
        <w:t>海关开支财政拨款的公务用车保有量为</w:t>
      </w:r>
      <w:r>
        <w:rPr>
          <w:rFonts w:ascii="方正仿宋_GBK" w:eastAsia="方正仿宋_GBK" w:hint="eastAsia"/>
          <w:kern w:val="0"/>
          <w:sz w:val="32"/>
          <w:szCs w:val="32"/>
        </w:rPr>
        <w:t>4</w:t>
      </w:r>
      <w:r>
        <w:rPr>
          <w:rFonts w:eastAsia="方正仿宋_GBK" w:hint="eastAsia"/>
          <w:sz w:val="32"/>
          <w:szCs w:val="32"/>
        </w:rPr>
        <w:t>辆，</w:t>
      </w:r>
      <w:r>
        <w:rPr>
          <w:rFonts w:eastAsia="方正仿宋_GBK" w:hint="eastAsia"/>
          <w:kern w:val="0"/>
          <w:sz w:val="32"/>
          <w:szCs w:val="32"/>
        </w:rPr>
        <w:t>公务用车运行维护费</w:t>
      </w:r>
      <w:r>
        <w:rPr>
          <w:rFonts w:ascii="方正仿宋_GBK" w:eastAsia="方正仿宋_GBK" w:hint="eastAsia"/>
          <w:kern w:val="0"/>
          <w:sz w:val="32"/>
          <w:szCs w:val="32"/>
        </w:rPr>
        <w:t>23.26</w:t>
      </w:r>
      <w:r>
        <w:rPr>
          <w:rFonts w:eastAsia="方正仿宋_GBK" w:hint="eastAsia"/>
          <w:kern w:val="0"/>
          <w:sz w:val="32"/>
          <w:szCs w:val="32"/>
        </w:rPr>
        <w:t>万元</w:t>
      </w:r>
      <w:r>
        <w:rPr>
          <w:rFonts w:eastAsia="方正仿宋_GBK" w:hint="eastAsia"/>
          <w:sz w:val="32"/>
          <w:szCs w:val="32"/>
        </w:rPr>
        <w:t>。</w:t>
      </w:r>
      <w:r>
        <w:rPr>
          <w:rFonts w:ascii="方正仿宋_GBK" w:eastAsia="方正仿宋_GBK" w:hint="eastAsia"/>
          <w:kern w:val="0"/>
          <w:sz w:val="32"/>
          <w:szCs w:val="32"/>
        </w:rPr>
        <w:t>重庆港</w:t>
      </w:r>
      <w:r>
        <w:rPr>
          <w:rFonts w:eastAsia="方正仿宋_GBK" w:hint="eastAsia"/>
          <w:kern w:val="0"/>
          <w:sz w:val="32"/>
          <w:szCs w:val="32"/>
        </w:rPr>
        <w:t>海关</w:t>
      </w:r>
      <w:r>
        <w:rPr>
          <w:rFonts w:eastAsia="方正仿宋_GBK" w:hint="eastAsia"/>
          <w:sz w:val="32"/>
          <w:szCs w:val="32"/>
        </w:rPr>
        <w:t>承担着国家赋予的税收征管、贸易监管、打击走私、维护国家政治经济安全任务</w:t>
      </w:r>
      <w:r>
        <w:rPr>
          <w:rFonts w:eastAsia="方正仿宋_GBK"/>
          <w:sz w:val="32"/>
          <w:szCs w:val="32"/>
        </w:rPr>
        <w:t>，</w:t>
      </w:r>
      <w:r>
        <w:rPr>
          <w:rFonts w:eastAsia="方正仿宋_GBK" w:hint="eastAsia"/>
          <w:sz w:val="32"/>
          <w:szCs w:val="32"/>
        </w:rPr>
        <w:t>监管区域大，点多、线长、面广。</w:t>
      </w:r>
      <w:r>
        <w:rPr>
          <w:rFonts w:ascii="方正仿宋_GBK" w:eastAsia="方正仿宋_GBK" w:hint="eastAsia"/>
          <w:kern w:val="0"/>
          <w:sz w:val="32"/>
          <w:szCs w:val="32"/>
        </w:rPr>
        <w:t>重庆港</w:t>
      </w:r>
      <w:r>
        <w:rPr>
          <w:rFonts w:eastAsia="方正仿宋_GBK" w:hint="eastAsia"/>
          <w:sz w:val="32"/>
          <w:szCs w:val="32"/>
        </w:rPr>
        <w:t>海关车辆</w:t>
      </w:r>
      <w:r>
        <w:rPr>
          <w:rFonts w:eastAsia="方正仿宋_GBK"/>
          <w:sz w:val="32"/>
          <w:szCs w:val="32"/>
        </w:rPr>
        <w:t>均</w:t>
      </w:r>
      <w:r>
        <w:rPr>
          <w:rFonts w:eastAsia="方正仿宋_GBK" w:hint="eastAsia"/>
          <w:sz w:val="32"/>
          <w:szCs w:val="32"/>
        </w:rPr>
        <w:t>为执法执勤用车，是</w:t>
      </w:r>
      <w:r>
        <w:rPr>
          <w:rFonts w:ascii="方正仿宋_GBK" w:eastAsia="方正仿宋_GBK" w:hint="eastAsia"/>
          <w:kern w:val="0"/>
          <w:sz w:val="32"/>
          <w:szCs w:val="32"/>
        </w:rPr>
        <w:t>我</w:t>
      </w:r>
      <w:r>
        <w:rPr>
          <w:rFonts w:eastAsia="方正仿宋_GBK" w:hint="eastAsia"/>
          <w:kern w:val="0"/>
          <w:sz w:val="32"/>
          <w:szCs w:val="32"/>
        </w:rPr>
        <w:t>关</w:t>
      </w:r>
      <w:r>
        <w:rPr>
          <w:rFonts w:eastAsia="方正仿宋_GBK" w:hint="eastAsia"/>
          <w:sz w:val="32"/>
          <w:szCs w:val="32"/>
        </w:rPr>
        <w:t>开展执法执勤工作的必要保障。</w:t>
      </w: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八、机关运行经费支出说明</w:t>
      </w:r>
    </w:p>
    <w:p>
      <w:pPr>
        <w:autoSpaceDN w:val="0"/>
        <w:spacing w:line="560" w:lineRule="exact"/>
        <w:ind w:firstLineChars="200" w:firstLine="640"/>
        <w:rPr>
          <w:rFonts w:eastAsia="方正仿宋_GBK"/>
          <w:kern w:val="0"/>
          <w:sz w:val="32"/>
          <w:szCs w:val="32"/>
        </w:rPr>
      </w:pPr>
      <w:r>
        <w:rPr>
          <w:rFonts w:eastAsia="方正仿宋_GBK"/>
          <w:kern w:val="0"/>
          <w:sz w:val="32"/>
          <w:szCs w:val="32"/>
        </w:rPr>
        <w:t>重庆港</w:t>
      </w:r>
      <w:r>
        <w:rPr>
          <w:rFonts w:eastAsia="方正仿宋_GBK" w:hint="eastAsia"/>
          <w:sz w:val="32"/>
          <w:szCs w:val="32"/>
        </w:rPr>
        <w:t>海关</w:t>
      </w:r>
      <w:r>
        <w:rPr>
          <w:rFonts w:eastAsia="方正仿宋_GBK"/>
          <w:kern w:val="0"/>
          <w:sz w:val="32"/>
          <w:szCs w:val="32"/>
        </w:rPr>
        <w:t>20</w:t>
      </w:r>
      <w:r>
        <w:rPr>
          <w:rFonts w:eastAsia="方正仿宋_GBK" w:hint="eastAsia"/>
          <w:kern w:val="0"/>
          <w:sz w:val="32"/>
          <w:szCs w:val="32"/>
        </w:rPr>
        <w:t>22年度机关运行经费支出59.97万元，比</w:t>
      </w:r>
      <w:r>
        <w:rPr>
          <w:rFonts w:eastAsia="方正仿宋_GBK"/>
          <w:kern w:val="0"/>
          <w:sz w:val="32"/>
          <w:szCs w:val="32"/>
        </w:rPr>
        <w:t>202</w:t>
      </w:r>
      <w:r>
        <w:rPr>
          <w:rFonts w:eastAsia="方正仿宋_GBK" w:hint="eastAsia"/>
          <w:kern w:val="0"/>
          <w:sz w:val="32"/>
          <w:szCs w:val="32"/>
        </w:rPr>
        <w:t>1年增加45.46万元，增长313.30%</w:t>
      </w:r>
      <w:r>
        <w:rPr>
          <w:rFonts w:eastAsia="方正仿宋_GBK"/>
          <w:kern w:val="0"/>
          <w:sz w:val="32"/>
          <w:szCs w:val="32"/>
        </w:rPr>
        <w:t>；</w:t>
      </w:r>
      <w:r>
        <w:rPr>
          <w:rFonts w:eastAsia="方正仿宋_GBK" w:hint="eastAsia"/>
          <w:kern w:val="0"/>
          <w:sz w:val="32"/>
          <w:szCs w:val="32"/>
        </w:rPr>
        <w:t>主要原因是公用经费保障有所增长</w:t>
      </w:r>
      <w:r>
        <w:rPr>
          <w:rFonts w:eastAsia="方正仿宋_GBK"/>
          <w:kern w:val="0"/>
          <w:sz w:val="32"/>
          <w:szCs w:val="32"/>
        </w:rPr>
        <w:t>。</w:t>
      </w: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九、政府采购支出说明</w:t>
      </w:r>
    </w:p>
    <w:p>
      <w:pPr>
        <w:autoSpaceDN w:val="0"/>
        <w:spacing w:line="560" w:lineRule="exact"/>
        <w:ind w:firstLineChars="200" w:firstLine="640"/>
        <w:rPr>
          <w:rFonts w:eastAsia="方正仿宋_GBK"/>
          <w:kern w:val="0"/>
          <w:sz w:val="32"/>
          <w:szCs w:val="32"/>
        </w:rPr>
      </w:pPr>
      <w:r>
        <w:rPr>
          <w:rFonts w:ascii="方正仿宋_GBK" w:eastAsia="方正仿宋_GBK" w:hint="eastAsia"/>
          <w:kern w:val="0"/>
          <w:sz w:val="32"/>
          <w:szCs w:val="32"/>
        </w:rPr>
        <w:t>重庆港</w:t>
      </w:r>
      <w:r>
        <w:rPr>
          <w:rFonts w:eastAsia="方正仿宋_GBK" w:hint="eastAsia"/>
          <w:sz w:val="32"/>
          <w:szCs w:val="32"/>
        </w:rPr>
        <w:t>海关</w:t>
      </w:r>
      <w:r>
        <w:rPr>
          <w:rFonts w:eastAsia="方正仿宋_GBK" w:hint="eastAsia"/>
          <w:kern w:val="0"/>
          <w:sz w:val="32"/>
          <w:szCs w:val="32"/>
        </w:rPr>
        <w:t>2022年度无政府</w:t>
      </w:r>
      <w:r>
        <w:rPr>
          <w:rFonts w:eastAsia="方正仿宋_GBK"/>
          <w:kern w:val="0"/>
          <w:sz w:val="32"/>
          <w:szCs w:val="32"/>
        </w:rPr>
        <w:t>采购</w:t>
      </w:r>
      <w:r>
        <w:rPr>
          <w:rFonts w:eastAsia="方正仿宋_GBK" w:hint="eastAsia"/>
          <w:kern w:val="0"/>
          <w:sz w:val="32"/>
          <w:szCs w:val="32"/>
        </w:rPr>
        <w:t>相关支出。</w:t>
      </w: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十、国有资产占用情况说明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截至2022年12月31日，</w:t>
      </w:r>
      <w:r>
        <w:rPr>
          <w:rFonts w:ascii="方正仿宋_GBK" w:eastAsia="方正仿宋_GBK" w:hint="eastAsia"/>
          <w:kern w:val="0"/>
          <w:sz w:val="32"/>
          <w:szCs w:val="32"/>
        </w:rPr>
        <w:t>重庆港</w:t>
      </w:r>
      <w:r>
        <w:rPr>
          <w:rFonts w:eastAsia="方正仿宋_GBK" w:hint="eastAsia"/>
          <w:sz w:val="32"/>
          <w:szCs w:val="32"/>
        </w:rPr>
        <w:t>海关</w:t>
      </w:r>
      <w:r>
        <w:rPr>
          <w:rFonts w:eastAsia="方正仿宋_GBK" w:hint="eastAsia"/>
          <w:kern w:val="0"/>
          <w:sz w:val="32"/>
          <w:szCs w:val="32"/>
        </w:rPr>
        <w:t>共有车辆</w:t>
      </w:r>
      <w:r>
        <w:rPr>
          <w:rFonts w:ascii="方正仿宋_GBK" w:eastAsia="方正仿宋_GBK" w:hint="eastAsia"/>
          <w:kern w:val="0"/>
          <w:sz w:val="32"/>
          <w:szCs w:val="32"/>
        </w:rPr>
        <w:t>4</w:t>
      </w:r>
      <w:r>
        <w:rPr>
          <w:rFonts w:eastAsia="方正仿宋_GBK" w:hint="eastAsia"/>
          <w:kern w:val="0"/>
          <w:sz w:val="32"/>
          <w:szCs w:val="32"/>
        </w:rPr>
        <w:t>辆（台），其中：执法执勤用车</w:t>
      </w:r>
      <w:r>
        <w:rPr>
          <w:rFonts w:ascii="方正仿宋_GBK" w:eastAsia="方正仿宋_GBK" w:hint="eastAsia"/>
          <w:kern w:val="0"/>
          <w:sz w:val="32"/>
          <w:szCs w:val="32"/>
        </w:rPr>
        <w:t>4</w:t>
      </w:r>
      <w:r>
        <w:rPr>
          <w:rFonts w:eastAsia="方正仿宋_GBK" w:hint="eastAsia"/>
          <w:kern w:val="0"/>
          <w:sz w:val="32"/>
          <w:szCs w:val="32"/>
        </w:rPr>
        <w:t>辆；单价100万元（含）以上的专用设备</w:t>
      </w:r>
      <w:r>
        <w:rPr>
          <w:rFonts w:ascii="方正仿宋_GBK" w:eastAsia="方正仿宋_GBK" w:hint="eastAsia"/>
          <w:kern w:val="0"/>
          <w:sz w:val="32"/>
          <w:szCs w:val="32"/>
        </w:rPr>
        <w:t>1</w:t>
      </w:r>
      <w:r>
        <w:rPr>
          <w:rFonts w:eastAsia="方正仿宋_GBK" w:hint="eastAsia"/>
          <w:kern w:val="0"/>
          <w:sz w:val="32"/>
          <w:szCs w:val="32"/>
        </w:rPr>
        <w:t>台（套）。</w:t>
      </w:r>
    </w:p>
    <w:p>
      <w:pPr>
        <w:autoSpaceDN w:val="0"/>
        <w:spacing w:line="560" w:lineRule="exact"/>
        <w:ind w:firstLineChars="200" w:firstLine="640"/>
        <w:rPr>
          <w:rFonts w:ascii="方正黑体_GBK" w:eastAsia="方正黑体_GBK"/>
          <w:sz w:val="32"/>
          <w:szCs w:val="32"/>
        </w:rPr>
      </w:pPr>
      <w:r>
        <w:rPr>
          <w:rFonts w:ascii="方正黑体_GBK" w:eastAsia="方正黑体_GBK" w:hint="eastAsia"/>
          <w:sz w:val="32"/>
          <w:szCs w:val="32"/>
        </w:rPr>
        <w:t>十一预算绩效情况说明</w:t>
      </w:r>
    </w:p>
    <w:p>
      <w:pPr>
        <w:autoSpaceDN w:val="0"/>
        <w:spacing w:line="56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（一）绩效管理评价工作开展情况。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根据预算绩效管理要求，</w:t>
      </w:r>
      <w:r>
        <w:rPr>
          <w:rFonts w:eastAsia="方正仿宋_GBK"/>
          <w:kern w:val="0"/>
          <w:sz w:val="32"/>
          <w:szCs w:val="32"/>
        </w:rPr>
        <w:t>重庆港海</w:t>
      </w:r>
      <w:r>
        <w:rPr>
          <w:rFonts w:eastAsia="方正仿宋_GBK" w:hint="eastAsia"/>
          <w:kern w:val="0"/>
          <w:sz w:val="32"/>
          <w:szCs w:val="32"/>
        </w:rPr>
        <w:t>关组织对2022年度一般公共预算项目支出</w:t>
      </w:r>
      <w:r>
        <w:rPr>
          <w:rFonts w:eastAsia="方正仿宋_GBK"/>
          <w:kern w:val="0"/>
          <w:sz w:val="32"/>
          <w:szCs w:val="32"/>
        </w:rPr>
        <w:t>全面</w:t>
      </w:r>
      <w:r>
        <w:rPr>
          <w:rFonts w:eastAsia="方正仿宋_GBK" w:hint="eastAsia"/>
          <w:kern w:val="0"/>
          <w:sz w:val="32"/>
          <w:szCs w:val="32"/>
        </w:rPr>
        <w:t>开展绩效自评</w:t>
      </w:r>
      <w:r>
        <w:rPr>
          <w:rFonts w:eastAsia="方正仿宋_GBK"/>
          <w:kern w:val="0"/>
          <w:sz w:val="32"/>
          <w:szCs w:val="32"/>
        </w:rPr>
        <w:t>。</w:t>
      </w:r>
      <w:r>
        <w:rPr>
          <w:rFonts w:eastAsia="方正仿宋_GBK" w:hint="eastAsia"/>
          <w:kern w:val="0"/>
          <w:sz w:val="32"/>
          <w:szCs w:val="32"/>
        </w:rPr>
        <w:t>其中</w:t>
      </w:r>
      <w:r>
        <w:rPr>
          <w:rFonts w:eastAsia="方正仿宋_GBK"/>
          <w:kern w:val="0"/>
          <w:sz w:val="32"/>
          <w:szCs w:val="32"/>
        </w:rPr>
        <w:t>，</w:t>
      </w:r>
      <w:r>
        <w:rPr>
          <w:rFonts w:eastAsia="方正仿宋_GBK" w:hint="eastAsia"/>
          <w:kern w:val="0"/>
          <w:sz w:val="32"/>
          <w:szCs w:val="32"/>
        </w:rPr>
        <w:t>一级项目1个</w:t>
      </w:r>
      <w:r>
        <w:rPr>
          <w:rFonts w:eastAsia="方正仿宋_GBK"/>
          <w:kern w:val="0"/>
          <w:sz w:val="32"/>
          <w:szCs w:val="32"/>
        </w:rPr>
        <w:t>、</w:t>
      </w:r>
      <w:r>
        <w:rPr>
          <w:rFonts w:eastAsia="方正仿宋_GBK" w:hint="eastAsia"/>
          <w:kern w:val="0"/>
          <w:sz w:val="32"/>
          <w:szCs w:val="32"/>
        </w:rPr>
        <w:t>二级项目1个，共涉及资金42.00万元，占一般公共预算项目支出总额的</w:t>
      </w:r>
      <w:r>
        <w:rPr>
          <w:rFonts w:eastAsia="方正仿宋_GBK"/>
          <w:kern w:val="0"/>
          <w:sz w:val="32"/>
          <w:szCs w:val="32"/>
        </w:rPr>
        <w:t>100</w:t>
      </w:r>
      <w:r>
        <w:rPr>
          <w:rFonts w:eastAsia="方正仿宋_GBK" w:hint="eastAsia"/>
          <w:kern w:val="0"/>
          <w:sz w:val="32"/>
          <w:szCs w:val="32"/>
        </w:rPr>
        <w:t>%。</w:t>
      </w:r>
    </w:p>
    <w:p>
      <w:pPr>
        <w:autoSpaceDN w:val="0"/>
        <w:spacing w:line="560" w:lineRule="exact"/>
        <w:ind w:firstLineChars="200" w:firstLine="640"/>
        <w:rPr>
          <w:rFonts w:ascii="方正楷体_GBK" w:eastAsia="方正楷体_GBK"/>
          <w:kern w:val="0"/>
          <w:sz w:val="32"/>
          <w:szCs w:val="32"/>
        </w:rPr>
      </w:pPr>
      <w:r>
        <w:rPr>
          <w:rFonts w:ascii="方正楷体_GBK" w:eastAsia="方正楷体_GBK" w:hint="eastAsia"/>
          <w:kern w:val="0"/>
          <w:sz w:val="32"/>
          <w:szCs w:val="32"/>
        </w:rPr>
        <w:t>（二）部门评价项目绩效评价结果。</w:t>
      </w:r>
    </w:p>
    <w:p>
      <w:pPr>
        <w:autoSpaceDN w:val="0"/>
        <w:spacing w:line="560" w:lineRule="exact"/>
        <w:ind w:firstLineChars="200" w:firstLine="640"/>
        <w:rPr>
          <w:rFonts w:eastAsia="方正仿宋_GBK"/>
          <w:kern w:val="0"/>
          <w:sz w:val="32"/>
          <w:szCs w:val="32"/>
        </w:rPr>
      </w:pPr>
      <w:r>
        <w:rPr>
          <w:rFonts w:eastAsia="方正仿宋_GBK"/>
          <w:b/>
          <w:bCs/>
          <w:sz w:val="32"/>
          <w:szCs w:val="32"/>
        </w:rPr>
        <w:t>海关业务保障</w:t>
      </w:r>
      <w:r>
        <w:rPr>
          <w:rFonts w:eastAsia="方正仿宋_GBK" w:hint="eastAsia"/>
          <w:b/>
          <w:bCs/>
          <w:sz w:val="32"/>
          <w:szCs w:val="32"/>
        </w:rPr>
        <w:t>及能力提升</w:t>
      </w:r>
      <w:r>
        <w:rPr>
          <w:rFonts w:eastAsia="方正仿宋_GBK"/>
          <w:b/>
          <w:bCs/>
          <w:sz w:val="32"/>
          <w:szCs w:val="32"/>
        </w:rPr>
        <w:t>专项项目自评综述：</w:t>
      </w:r>
      <w:r>
        <w:rPr>
          <w:rFonts w:eastAsia="方正仿宋_GBK"/>
          <w:sz w:val="32"/>
          <w:szCs w:val="32"/>
        </w:rPr>
        <w:t>根据年初设定的绩效目标，该项目自评得分为100分。全年预算数为</w:t>
      </w:r>
      <w:r>
        <w:rPr>
          <w:rFonts w:eastAsia="方正仿宋_GBK" w:hint="eastAsia"/>
          <w:sz w:val="32"/>
          <w:szCs w:val="32"/>
        </w:rPr>
        <w:t>42.00</w:t>
      </w:r>
      <w:r>
        <w:rPr>
          <w:rFonts w:eastAsia="方正仿宋_GBK"/>
          <w:sz w:val="32"/>
          <w:szCs w:val="32"/>
        </w:rPr>
        <w:t>万元，执行数为</w:t>
      </w:r>
      <w:r>
        <w:rPr>
          <w:rFonts w:eastAsia="方正仿宋_GBK" w:hint="eastAsia"/>
          <w:sz w:val="32"/>
          <w:szCs w:val="32"/>
        </w:rPr>
        <w:t>42.00</w:t>
      </w:r>
      <w:r>
        <w:rPr>
          <w:rFonts w:eastAsia="方正仿宋_GBK"/>
          <w:sz w:val="32"/>
          <w:szCs w:val="32"/>
        </w:rPr>
        <w:t>万元，完成预算的100%。项目绩效目标的完成情况：有力保障海关行政执法、风险管理等各项业务工作日常经费需求，提升海关行政执法能力和执法水平。</w:t>
      </w:r>
      <w:r>
        <w:rPr>
          <w:rFonts w:eastAsia="方正仿宋_GBK"/>
          <w:kern w:val="0"/>
          <w:sz w:val="32"/>
          <w:szCs w:val="32"/>
        </w:rPr>
        <w:t>通过</w:t>
      </w:r>
      <w:r>
        <w:rPr>
          <w:rFonts w:eastAsia="方正仿宋_GBK" w:hint="eastAsia"/>
          <w:kern w:val="0"/>
          <w:sz w:val="32"/>
          <w:szCs w:val="32"/>
        </w:rPr>
        <w:t>开展业务</w:t>
      </w:r>
      <w:r>
        <w:rPr>
          <w:rFonts w:eastAsia="方正仿宋_GBK"/>
          <w:kern w:val="0"/>
          <w:sz w:val="32"/>
          <w:szCs w:val="32"/>
        </w:rPr>
        <w:t>培训</w:t>
      </w:r>
      <w:r>
        <w:rPr>
          <w:rFonts w:eastAsia="方正仿宋_GBK" w:hint="eastAsia"/>
          <w:kern w:val="0"/>
          <w:sz w:val="32"/>
          <w:szCs w:val="32"/>
        </w:rPr>
        <w:t>及交流学习，进一步提高现场监管查验人员的业务能力和工作水平，更好的把好国门安全关。</w:t>
      </w: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rPr>
          <w:rFonts w:eastAsia="方正仿宋_GBK"/>
          <w:kern w:val="0"/>
          <w:sz w:val="32"/>
          <w:szCs w:val="32"/>
        </w:rPr>
      </w:pPr>
      <w:r>
        <w:rPr>
          <w:rFonts w:eastAsia="方正仿宋_GBK"/>
          <w:kern w:val="0"/>
          <w:sz w:val="32"/>
          <w:szCs w:val="32"/>
        </w:rPr>
        <w:t xml:space="preserve">    </w:t>
      </w:r>
    </w:p>
    <w:p>
      <w:pPr>
        <w:autoSpaceDN w:val="0"/>
        <w:spacing w:line="560" w:lineRule="exact"/>
        <w:rPr>
          <w:rFonts w:eastAsia="方正仿宋_GBK"/>
          <w:kern w:val="0"/>
          <w:sz w:val="32"/>
          <w:szCs w:val="32"/>
        </w:rPr>
      </w:pPr>
    </w:p>
    <w:tbl>
      <w:tblPr>
        <w:tblpPr w:leftFromText="180" w:rightFromText="180" w:vertAnchor="text" w:horzAnchor="page" w:tblpX="1551" w:tblpY="394"/>
        <w:tblOverlap w:val="never"/>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84"/>
        <w:gridCol w:w="891"/>
        <w:gridCol w:w="890"/>
        <w:gridCol w:w="830"/>
        <w:gridCol w:w="914"/>
        <w:gridCol w:w="914"/>
        <w:gridCol w:w="1423"/>
        <w:gridCol w:w="654"/>
        <w:gridCol w:w="109"/>
        <w:gridCol w:w="659"/>
        <w:gridCol w:w="137"/>
        <w:gridCol w:w="550"/>
        <w:gridCol w:w="788"/>
      </w:tblGrid>
      <w:tr>
        <w:trPr>
          <w:trHeight w:val="600"/>
        </w:trPr>
        <w:tc>
          <w:tcPr>
            <w:tcW w:w="9243" w:type="dxa"/>
            <w:gridSpan w:val="13"/>
            <w:tcBorders>
              <w:top w:val="nil"/>
              <w:left w:val="nil"/>
              <w:bottom w:val="nil"/>
              <w:right w:val="nil"/>
            </w:tcBorders>
            <w:noWrap/>
            <w:vAlign w:val="center"/>
          </w:tcPr>
          <w:p>
            <w:pPr>
              <w:jc w:val="center"/>
              <w:rPr>
                <w:rFonts w:ascii="宋体"/>
                <w:b/>
                <w:sz w:val="32"/>
              </w:rPr>
            </w:pPr>
            <w:r>
              <w:rPr>
                <w:rFonts w:ascii="宋体" w:hint="eastAsia"/>
                <w:b/>
                <w:sz w:val="32"/>
              </w:rPr>
              <w:t>项目支出绩效自评表</w:t>
            </w:r>
          </w:p>
        </w:tc>
      </w:tr>
      <w:tr>
        <w:trPr>
          <w:trHeight w:val="285"/>
        </w:trPr>
        <w:tc>
          <w:tcPr>
            <w:tcW w:w="9243" w:type="dxa"/>
            <w:gridSpan w:val="13"/>
            <w:tcBorders>
              <w:top w:val="nil"/>
              <w:left w:val="nil"/>
              <w:bottom w:val="nil"/>
              <w:right w:val="nil"/>
            </w:tcBorders>
            <w:noWrap/>
            <w:vAlign w:val="center"/>
          </w:tcPr>
          <w:p>
            <w:pPr>
              <w:jc w:val="center"/>
              <w:rPr>
                <w:rFonts w:ascii="宋体"/>
                <w:sz w:val="22"/>
              </w:rPr>
            </w:pPr>
            <w:r>
              <w:rPr>
                <w:rFonts w:ascii="宋体" w:hint="eastAsia"/>
                <w:sz w:val="22"/>
              </w:rPr>
              <w:t>(2022年度)</w:t>
            </w:r>
          </w:p>
        </w:tc>
      </w:tr>
      <w:tr>
        <w:trPr>
          <w:trHeight w:val="285"/>
        </w:trPr>
        <w:tc>
          <w:tcPr>
            <w:tcW w:w="484" w:type="dxa"/>
            <w:tcBorders>
              <w:top w:val="nil"/>
              <w:left w:val="nil"/>
              <w:bottom w:val="nil"/>
              <w:right w:val="nil"/>
            </w:tcBorders>
            <w:noWrap/>
            <w:vAlign w:val="center"/>
          </w:tcPr>
          <w:p>
            <w:pPr>
              <w:rPr>
                <w:sz w:val="24"/>
              </w:rPr>
            </w:pPr>
          </w:p>
        </w:tc>
        <w:tc>
          <w:tcPr>
            <w:tcW w:w="891" w:type="dxa"/>
            <w:tcBorders>
              <w:top w:val="nil"/>
              <w:left w:val="nil"/>
              <w:bottom w:val="nil"/>
              <w:right w:val="nil"/>
            </w:tcBorders>
            <w:noWrap/>
            <w:vAlign w:val="center"/>
          </w:tcPr>
          <w:p>
            <w:pPr>
              <w:rPr>
                <w:sz w:val="24"/>
              </w:rPr>
            </w:pPr>
          </w:p>
        </w:tc>
        <w:tc>
          <w:tcPr>
            <w:tcW w:w="890" w:type="dxa"/>
            <w:tcBorders>
              <w:top w:val="nil"/>
              <w:left w:val="nil"/>
              <w:bottom w:val="nil"/>
              <w:right w:val="nil"/>
            </w:tcBorders>
            <w:noWrap/>
            <w:vAlign w:val="center"/>
          </w:tcPr>
          <w:p>
            <w:pPr>
              <w:rPr>
                <w:sz w:val="24"/>
              </w:rPr>
            </w:pPr>
          </w:p>
        </w:tc>
        <w:tc>
          <w:tcPr>
            <w:tcW w:w="830" w:type="dxa"/>
            <w:tcBorders>
              <w:top w:val="nil"/>
              <w:left w:val="nil"/>
              <w:bottom w:val="nil"/>
              <w:right w:val="nil"/>
            </w:tcBorders>
            <w:noWrap/>
            <w:vAlign w:val="center"/>
          </w:tcPr>
          <w:p>
            <w:pPr>
              <w:rPr>
                <w:sz w:val="24"/>
              </w:rPr>
            </w:pPr>
          </w:p>
        </w:tc>
        <w:tc>
          <w:tcPr>
            <w:tcW w:w="914" w:type="dxa"/>
            <w:tcBorders>
              <w:top w:val="nil"/>
              <w:left w:val="nil"/>
              <w:bottom w:val="nil"/>
              <w:right w:val="nil"/>
            </w:tcBorders>
            <w:noWrap/>
            <w:vAlign w:val="center"/>
          </w:tcPr>
          <w:p>
            <w:pPr>
              <w:rPr>
                <w:sz w:val="24"/>
              </w:rPr>
            </w:pPr>
          </w:p>
        </w:tc>
        <w:tc>
          <w:tcPr>
            <w:tcW w:w="914" w:type="dxa"/>
            <w:tcBorders>
              <w:top w:val="nil"/>
              <w:left w:val="nil"/>
              <w:bottom w:val="nil"/>
              <w:right w:val="nil"/>
            </w:tcBorders>
            <w:noWrap/>
            <w:vAlign w:val="center"/>
          </w:tcPr>
          <w:p>
            <w:pPr>
              <w:rPr>
                <w:sz w:val="24"/>
              </w:rPr>
            </w:pPr>
          </w:p>
        </w:tc>
        <w:tc>
          <w:tcPr>
            <w:tcW w:w="1423" w:type="dxa"/>
            <w:tcBorders>
              <w:top w:val="nil"/>
              <w:left w:val="nil"/>
              <w:bottom w:val="nil"/>
              <w:right w:val="nil"/>
            </w:tcBorders>
            <w:noWrap/>
            <w:vAlign w:val="center"/>
          </w:tcPr>
          <w:p>
            <w:pPr>
              <w:rPr>
                <w:sz w:val="24"/>
              </w:rPr>
            </w:pPr>
          </w:p>
        </w:tc>
        <w:tc>
          <w:tcPr>
            <w:tcW w:w="654" w:type="dxa"/>
            <w:tcBorders>
              <w:top w:val="nil"/>
              <w:left w:val="nil"/>
              <w:bottom w:val="nil"/>
              <w:right w:val="nil"/>
            </w:tcBorders>
            <w:noWrap/>
            <w:vAlign w:val="center"/>
          </w:tcPr>
          <w:p>
            <w:pPr>
              <w:rPr>
                <w:sz w:val="24"/>
              </w:rPr>
            </w:pPr>
          </w:p>
        </w:tc>
        <w:tc>
          <w:tcPr>
            <w:tcW w:w="768" w:type="dxa"/>
            <w:gridSpan w:val="2"/>
            <w:tcBorders>
              <w:top w:val="nil"/>
              <w:left w:val="nil"/>
              <w:bottom w:val="nil"/>
              <w:right w:val="nil"/>
            </w:tcBorders>
            <w:noWrap/>
            <w:vAlign w:val="center"/>
          </w:tcPr>
          <w:p>
            <w:pPr>
              <w:rPr>
                <w:sz w:val="24"/>
              </w:rPr>
            </w:pPr>
          </w:p>
        </w:tc>
        <w:tc>
          <w:tcPr>
            <w:tcW w:w="687" w:type="dxa"/>
            <w:gridSpan w:val="2"/>
            <w:tcBorders>
              <w:top w:val="nil"/>
              <w:left w:val="nil"/>
              <w:bottom w:val="nil"/>
              <w:right w:val="nil"/>
            </w:tcBorders>
            <w:noWrap/>
            <w:vAlign w:val="center"/>
          </w:tcPr>
          <w:p>
            <w:pPr>
              <w:rPr>
                <w:sz w:val="24"/>
              </w:rPr>
            </w:pPr>
          </w:p>
        </w:tc>
        <w:tc>
          <w:tcPr>
            <w:tcW w:w="788" w:type="dxa"/>
            <w:tcBorders>
              <w:top w:val="nil"/>
              <w:left w:val="nil"/>
              <w:bottom w:val="nil"/>
              <w:right w:val="nil"/>
            </w:tcBorders>
            <w:noWrap/>
            <w:vAlign w:val="center"/>
          </w:tcPr>
          <w:p>
            <w:pPr>
              <w:rPr>
                <w:sz w:val="24"/>
              </w:rPr>
            </w:pPr>
          </w:p>
        </w:tc>
      </w:tr>
      <w:tr>
        <w:trPr>
          <w:trHeight w:val="501"/>
        </w:trPr>
        <w:tc>
          <w:tcPr>
            <w:tcW w:w="1375"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项目名称</w:t>
            </w:r>
          </w:p>
        </w:tc>
        <w:tc>
          <w:tcPr>
            <w:tcW w:w="7868" w:type="dxa"/>
            <w:gridSpan w:val="11"/>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b/>
                <w:bCs/>
                <w:sz w:val="18"/>
              </w:rPr>
            </w:pPr>
            <w:r>
              <w:rPr>
                <w:rFonts w:ascii="宋体" w:hint="eastAsia"/>
                <w:b/>
                <w:bCs/>
                <w:sz w:val="18"/>
              </w:rPr>
              <w:t>海关业务保障及能力提升专项</w:t>
            </w:r>
          </w:p>
        </w:tc>
      </w:tr>
      <w:tr>
        <w:trPr>
          <w:trHeight w:val="375"/>
        </w:trPr>
        <w:tc>
          <w:tcPr>
            <w:tcW w:w="1375"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主管部门</w:t>
            </w:r>
          </w:p>
        </w:tc>
        <w:tc>
          <w:tcPr>
            <w:tcW w:w="2634" w:type="dxa"/>
            <w:gridSpan w:val="3"/>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cs="Arial"/>
                <w:sz w:val="18"/>
                <w:szCs w:val="18"/>
              </w:rPr>
            </w:pPr>
            <w:r>
              <w:rPr>
                <w:rFonts w:cs="Arial" w:hint="eastAsia"/>
                <w:sz w:val="18"/>
                <w:szCs w:val="18"/>
              </w:rPr>
              <w:t>167 海关总署</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实施单位</w:t>
            </w:r>
          </w:p>
        </w:tc>
        <w:tc>
          <w:tcPr>
            <w:tcW w:w="4320" w:type="dxa"/>
            <w:gridSpan w:val="7"/>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中华人民共和国重庆港海关</w:t>
            </w:r>
          </w:p>
        </w:tc>
      </w:tr>
      <w:tr>
        <w:trPr>
          <w:trHeight w:val="375"/>
        </w:trPr>
        <w:tc>
          <w:tcPr>
            <w:tcW w:w="1375" w:type="dxa"/>
            <w:gridSpan w:val="2"/>
            <w:vMerge w:val="restart"/>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项目资金（万元）</w:t>
            </w:r>
          </w:p>
        </w:tc>
        <w:tc>
          <w:tcPr>
            <w:tcW w:w="1720"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年初预算数</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全年预算数</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全年执行数</w:t>
            </w:r>
          </w:p>
        </w:tc>
        <w:tc>
          <w:tcPr>
            <w:tcW w:w="65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分值</w:t>
            </w:r>
          </w:p>
        </w:tc>
        <w:tc>
          <w:tcPr>
            <w:tcW w:w="1455" w:type="dxa"/>
            <w:gridSpan w:val="4"/>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执行率</w:t>
            </w:r>
          </w:p>
        </w:tc>
        <w:tc>
          <w:tcPr>
            <w:tcW w:w="788"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得分</w:t>
            </w:r>
          </w:p>
        </w:tc>
      </w:tr>
      <w:tr>
        <w:trPr>
          <w:trHeight w:val="375"/>
        </w:trPr>
        <w:tc>
          <w:tcPr>
            <w:tcW w:w="1375" w:type="dxa"/>
            <w:gridSpan w:val="2"/>
            <w:vMerge/>
            <w:tcBorders>
              <w:top w:val="single" w:sz="6" w:space="0" w:color="000000"/>
              <w:left w:val="single" w:sz="6" w:space="0" w:color="000000"/>
              <w:bottom w:val="single" w:sz="6" w:space="0" w:color="000000"/>
              <w:right w:val="single" w:sz="6" w:space="0" w:color="000000"/>
            </w:tcBorders>
            <w:noWrap/>
            <w:vAlign w:val="center"/>
          </w:tcPr>
          <w:p/>
        </w:tc>
        <w:tc>
          <w:tcPr>
            <w:tcW w:w="1720"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 xml:space="preserve">  年度资金总额：</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65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1455" w:type="dxa"/>
            <w:gridSpan w:val="4"/>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100.0%</w:t>
            </w:r>
          </w:p>
        </w:tc>
        <w:tc>
          <w:tcPr>
            <w:tcW w:w="788"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10.00</w:t>
            </w:r>
          </w:p>
        </w:tc>
      </w:tr>
      <w:tr>
        <w:trPr>
          <w:trHeight w:val="375"/>
        </w:trPr>
        <w:tc>
          <w:tcPr>
            <w:tcW w:w="1375" w:type="dxa"/>
            <w:gridSpan w:val="2"/>
            <w:vMerge/>
            <w:tcBorders>
              <w:top w:val="single" w:sz="6" w:space="0" w:color="000000"/>
              <w:left w:val="single" w:sz="6" w:space="0" w:color="000000"/>
              <w:bottom w:val="single" w:sz="6" w:space="0" w:color="000000"/>
              <w:right w:val="single" w:sz="6" w:space="0" w:color="000000"/>
            </w:tcBorders>
            <w:noWrap/>
            <w:vAlign w:val="center"/>
          </w:tcPr>
          <w:p/>
        </w:tc>
        <w:tc>
          <w:tcPr>
            <w:tcW w:w="1720"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 xml:space="preserve">    其中：财政拨款</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42.00</w:t>
            </w:r>
          </w:p>
        </w:tc>
        <w:tc>
          <w:tcPr>
            <w:tcW w:w="65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c>
          <w:tcPr>
            <w:tcW w:w="1455" w:type="dxa"/>
            <w:gridSpan w:val="4"/>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100.0%</w:t>
            </w:r>
          </w:p>
        </w:tc>
        <w:tc>
          <w:tcPr>
            <w:tcW w:w="788"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r>
      <w:tr>
        <w:trPr>
          <w:trHeight w:val="375"/>
        </w:trPr>
        <w:tc>
          <w:tcPr>
            <w:tcW w:w="1375" w:type="dxa"/>
            <w:gridSpan w:val="2"/>
            <w:vMerge/>
            <w:tcBorders>
              <w:top w:val="single" w:sz="6" w:space="0" w:color="000000"/>
              <w:left w:val="single" w:sz="6" w:space="0" w:color="000000"/>
              <w:bottom w:val="single" w:sz="6" w:space="0" w:color="000000"/>
              <w:right w:val="single" w:sz="6" w:space="0" w:color="000000"/>
            </w:tcBorders>
            <w:noWrap/>
            <w:vAlign w:val="center"/>
          </w:tcPr>
          <w:p/>
        </w:tc>
        <w:tc>
          <w:tcPr>
            <w:tcW w:w="1720"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 xml:space="preserve">     上年结转资金</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65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c>
          <w:tcPr>
            <w:tcW w:w="1455" w:type="dxa"/>
            <w:gridSpan w:val="4"/>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w:t>
            </w:r>
          </w:p>
        </w:tc>
        <w:tc>
          <w:tcPr>
            <w:tcW w:w="788"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r>
      <w:tr>
        <w:trPr>
          <w:trHeight w:val="375"/>
        </w:trPr>
        <w:tc>
          <w:tcPr>
            <w:tcW w:w="1375" w:type="dxa"/>
            <w:gridSpan w:val="2"/>
            <w:vMerge/>
            <w:tcBorders>
              <w:top w:val="single" w:sz="6" w:space="0" w:color="000000"/>
              <w:left w:val="single" w:sz="6" w:space="0" w:color="000000"/>
              <w:bottom w:val="single" w:sz="6" w:space="0" w:color="000000"/>
              <w:right w:val="single" w:sz="6" w:space="0" w:color="000000"/>
            </w:tcBorders>
            <w:noWrap/>
            <w:vAlign w:val="center"/>
          </w:tcPr>
          <w:p/>
        </w:tc>
        <w:tc>
          <w:tcPr>
            <w:tcW w:w="1720"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 xml:space="preserve">         其他资金</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0.00</w:t>
            </w:r>
          </w:p>
        </w:tc>
        <w:tc>
          <w:tcPr>
            <w:tcW w:w="65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c>
          <w:tcPr>
            <w:tcW w:w="1455" w:type="dxa"/>
            <w:gridSpan w:val="4"/>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0.0%</w:t>
            </w:r>
          </w:p>
        </w:tc>
        <w:tc>
          <w:tcPr>
            <w:tcW w:w="788"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w:t>
            </w:r>
          </w:p>
        </w:tc>
      </w:tr>
      <w:tr>
        <w:trPr>
          <w:trHeight w:val="375"/>
        </w:trPr>
        <w:tc>
          <w:tcPr>
            <w:tcW w:w="484" w:type="dxa"/>
            <w:vMerge w:val="restart"/>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年度总体目标</w:t>
            </w:r>
          </w:p>
        </w:tc>
        <w:tc>
          <w:tcPr>
            <w:tcW w:w="4439" w:type="dxa"/>
            <w:gridSpan w:val="5"/>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预期目标</w:t>
            </w:r>
          </w:p>
        </w:tc>
        <w:tc>
          <w:tcPr>
            <w:tcW w:w="4320" w:type="dxa"/>
            <w:gridSpan w:val="7"/>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实际完成情况</w:t>
            </w:r>
          </w:p>
        </w:tc>
      </w:tr>
      <w:tr>
        <w:trPr>
          <w:trHeight w:val="1905"/>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4439" w:type="dxa"/>
            <w:gridSpan w:val="5"/>
            <w:tcBorders>
              <w:top w:val="single" w:sz="6" w:space="0" w:color="000000"/>
              <w:left w:val="single" w:sz="6" w:space="0" w:color="000000"/>
              <w:bottom w:val="single" w:sz="6" w:space="0" w:color="000000"/>
              <w:right w:val="single" w:sz="6" w:space="0" w:color="000000"/>
            </w:tcBorders>
            <w:noWrap/>
          </w:tcPr>
          <w:p>
            <w:pPr>
              <w:rPr>
                <w:rFonts w:ascii="宋体"/>
                <w:sz w:val="18"/>
              </w:rPr>
            </w:pPr>
            <w:r>
              <w:rPr>
                <w:rFonts w:ascii="宋体" w:hint="eastAsia"/>
                <w:sz w:val="18"/>
              </w:rPr>
              <w:t>1.保障业务现场聘用人员需要，确保现场各项业务工作正常开展；</w:t>
            </w:r>
          </w:p>
          <w:p>
            <w:pPr>
              <w:rPr>
                <w:rFonts w:ascii="宋体"/>
                <w:sz w:val="18"/>
              </w:rPr>
            </w:pPr>
            <w:r>
              <w:rPr>
                <w:rFonts w:ascii="宋体" w:hint="eastAsia"/>
                <w:sz w:val="18"/>
              </w:rPr>
              <w:t>1.保障监管查验等业务日常需要，确保监管要求与措施落实到位，满足业务增长需要，把好国门安全关；_</w:t>
            </w:r>
          </w:p>
          <w:p>
            <w:pPr>
              <w:rPr>
                <w:rFonts w:ascii="宋体"/>
                <w:sz w:val="18"/>
              </w:rPr>
            </w:pPr>
            <w:r>
              <w:rPr>
                <w:rFonts w:ascii="宋体" w:hint="eastAsia"/>
                <w:sz w:val="18"/>
              </w:rPr>
              <w:t>2.开展通关、监管、检验检疫等业务培训，提高检测及监管查验人员业务能力和工作水平。</w:t>
            </w:r>
          </w:p>
        </w:tc>
        <w:tc>
          <w:tcPr>
            <w:tcW w:w="4320" w:type="dxa"/>
            <w:gridSpan w:val="7"/>
            <w:tcBorders>
              <w:top w:val="single" w:sz="6" w:space="0" w:color="000000"/>
              <w:left w:val="single" w:sz="6" w:space="0" w:color="000000"/>
              <w:bottom w:val="single" w:sz="6" w:space="0" w:color="000000"/>
              <w:right w:val="single" w:sz="6" w:space="0" w:color="000000"/>
            </w:tcBorders>
            <w:noWrap/>
          </w:tcPr>
          <w:p>
            <w:pPr>
              <w:rPr>
                <w:rFonts w:ascii="宋体"/>
                <w:sz w:val="18"/>
              </w:rPr>
            </w:pPr>
            <w:r>
              <w:rPr>
                <w:rFonts w:ascii="宋体" w:hint="eastAsia"/>
                <w:sz w:val="18"/>
              </w:rPr>
              <w:t>该项目通过保障业务现场聘用人员工资等费用及保障现场执法车辆的日常运行维护，确保了现场各项业务工作的正常有序开展；同时，通过开展业务培训及交流学习，进一步提高了现场监管查验人员的业务能力和工作水平，更好的把好国门安全关。</w:t>
            </w:r>
          </w:p>
        </w:tc>
      </w:tr>
      <w:tr>
        <w:trPr>
          <w:trHeight w:val="550"/>
        </w:trPr>
        <w:tc>
          <w:tcPr>
            <w:tcW w:w="48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c>
          <w:tcPr>
            <w:tcW w:w="891"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一级  指标</w:t>
            </w:r>
          </w:p>
        </w:tc>
        <w:tc>
          <w:tcPr>
            <w:tcW w:w="890"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二级  指标</w:t>
            </w: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三级指标</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年度指标值</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实际完成值</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分值</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得分</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偏差原因分析及改进措施</w:t>
            </w:r>
          </w:p>
        </w:tc>
      </w:tr>
      <w:tr>
        <w:trPr>
          <w:trHeight w:val="480"/>
        </w:trPr>
        <w:tc>
          <w:tcPr>
            <w:tcW w:w="484" w:type="dxa"/>
            <w:vMerge w:val="restart"/>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绩效指标</w:t>
            </w:r>
          </w:p>
        </w:tc>
        <w:tc>
          <w:tcPr>
            <w:tcW w:w="891" w:type="dxa"/>
            <w:vMerge w:val="restart"/>
            <w:tcBorders>
              <w:top w:val="single" w:sz="6" w:space="0" w:color="000000"/>
              <w:left w:val="single" w:sz="6" w:space="0" w:color="000000"/>
              <w:right w:val="single" w:sz="6" w:space="0" w:color="000000"/>
            </w:tcBorders>
            <w:noWrap/>
            <w:vAlign w:val="center"/>
          </w:tcPr>
          <w:p>
            <w:pPr>
              <w:jc w:val="center"/>
              <w:rPr>
                <w:rFonts w:ascii="宋体"/>
                <w:sz w:val="18"/>
              </w:rPr>
            </w:pPr>
            <w:r>
              <w:rPr>
                <w:rFonts w:ascii="宋体" w:hint="eastAsia"/>
                <w:sz w:val="18"/>
              </w:rPr>
              <w:t>产出  指标</w:t>
            </w:r>
          </w:p>
        </w:tc>
        <w:tc>
          <w:tcPr>
            <w:tcW w:w="890" w:type="dxa"/>
            <w:vMerge w:val="restart"/>
            <w:tcBorders>
              <w:top w:val="single" w:sz="6" w:space="0" w:color="000000"/>
              <w:left w:val="single" w:sz="6" w:space="0" w:color="000000"/>
              <w:right w:val="single" w:sz="6" w:space="0" w:color="000000"/>
            </w:tcBorders>
            <w:noWrap/>
            <w:vAlign w:val="center"/>
          </w:tcPr>
          <w:p>
            <w:pPr>
              <w:jc w:val="center"/>
              <w:rPr>
                <w:rFonts w:ascii="宋体"/>
                <w:sz w:val="18"/>
              </w:rPr>
            </w:pPr>
            <w:r>
              <w:rPr>
                <w:rFonts w:ascii="宋体" w:hint="eastAsia"/>
                <w:sz w:val="18"/>
              </w:rPr>
              <w:t>数量   指标</w:t>
            </w: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保障业务现场聘用人员</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≥3人</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3人</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480"/>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891" w:type="dxa"/>
            <w:vMerge/>
            <w:tcBorders>
              <w:left w:val="single" w:sz="6" w:space="0" w:color="000000"/>
              <w:right w:val="single" w:sz="6" w:space="0" w:color="000000"/>
            </w:tcBorders>
            <w:noWrap/>
            <w:vAlign w:val="center"/>
          </w:tcPr>
          <w:p/>
        </w:tc>
        <w:tc>
          <w:tcPr>
            <w:tcW w:w="890" w:type="dxa"/>
            <w:vMerge/>
            <w:tcBorders>
              <w:left w:val="single" w:sz="6" w:space="0" w:color="000000"/>
              <w:right w:val="single" w:sz="6" w:space="0" w:color="000000"/>
            </w:tcBorders>
            <w:noWrap/>
            <w:vAlign w:val="center"/>
          </w:tcP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开展调研学习交流次数</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≥1次</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1次</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480"/>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891" w:type="dxa"/>
            <w:vMerge/>
            <w:tcBorders>
              <w:left w:val="single" w:sz="6" w:space="0" w:color="000000"/>
              <w:right w:val="single" w:sz="6" w:space="0" w:color="000000"/>
            </w:tcBorders>
            <w:noWrap/>
            <w:vAlign w:val="center"/>
          </w:tcPr>
          <w:p/>
        </w:tc>
        <w:tc>
          <w:tcPr>
            <w:tcW w:w="890" w:type="dxa"/>
            <w:vMerge/>
            <w:tcBorders>
              <w:left w:val="single" w:sz="6" w:space="0" w:color="000000"/>
              <w:bottom w:val="single" w:sz="6" w:space="0" w:color="000000"/>
              <w:right w:val="single" w:sz="6" w:space="0" w:color="000000"/>
            </w:tcBorders>
            <w:noWrap/>
            <w:vAlign w:val="center"/>
          </w:tcP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运维执法车辆数量</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≥4辆</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4辆</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20.0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20.0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480"/>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891" w:type="dxa"/>
            <w:vMerge/>
            <w:tcBorders>
              <w:left w:val="single" w:sz="6" w:space="0" w:color="000000"/>
              <w:bottom w:val="single" w:sz="6" w:space="0" w:color="000000"/>
              <w:right w:val="single" w:sz="6" w:space="0" w:color="000000"/>
            </w:tcBorders>
            <w:noWrap/>
            <w:vAlign w:val="center"/>
          </w:tcPr>
          <w:p/>
        </w:tc>
        <w:tc>
          <w:tcPr>
            <w:tcW w:w="890"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质量  指标</w:t>
            </w: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执法人员持证上岗率</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≥95%</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95%</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480"/>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891"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效益指标</w:t>
            </w:r>
          </w:p>
        </w:tc>
        <w:tc>
          <w:tcPr>
            <w:tcW w:w="890"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社会效益指标</w:t>
            </w: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整体通关时效</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有所提升</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有所提升</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30.0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30.0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720"/>
        </w:trPr>
        <w:tc>
          <w:tcPr>
            <w:tcW w:w="484" w:type="dxa"/>
            <w:vMerge/>
            <w:tcBorders>
              <w:top w:val="single" w:sz="6" w:space="0" w:color="000000"/>
              <w:left w:val="single" w:sz="6" w:space="0" w:color="000000"/>
              <w:bottom w:val="single" w:sz="6" w:space="0" w:color="000000"/>
              <w:right w:val="single" w:sz="6" w:space="0" w:color="000000"/>
            </w:tcBorders>
            <w:noWrap/>
            <w:vAlign w:val="center"/>
          </w:tcPr>
          <w:p/>
        </w:tc>
        <w:tc>
          <w:tcPr>
            <w:tcW w:w="891"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满意度指标</w:t>
            </w:r>
          </w:p>
        </w:tc>
        <w:tc>
          <w:tcPr>
            <w:tcW w:w="890"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服务对象满意度指标</w:t>
            </w:r>
          </w:p>
        </w:tc>
        <w:tc>
          <w:tcPr>
            <w:tcW w:w="1744" w:type="dxa"/>
            <w:gridSpan w:val="2"/>
            <w:tcBorders>
              <w:top w:val="single" w:sz="6" w:space="0" w:color="000000"/>
              <w:left w:val="single" w:sz="6" w:space="0" w:color="000000"/>
              <w:bottom w:val="single" w:sz="6" w:space="0" w:color="000000"/>
              <w:right w:val="single" w:sz="6" w:space="0" w:color="000000"/>
            </w:tcBorders>
            <w:noWrap/>
            <w:vAlign w:val="center"/>
          </w:tcPr>
          <w:p>
            <w:pPr>
              <w:rPr>
                <w:rFonts w:ascii="宋体"/>
                <w:sz w:val="18"/>
              </w:rPr>
            </w:pPr>
            <w:r>
              <w:rPr>
                <w:rFonts w:ascii="宋体" w:hint="eastAsia"/>
                <w:sz w:val="18"/>
              </w:rPr>
              <w:t>服务企业（抽样）满意度</w:t>
            </w:r>
          </w:p>
        </w:tc>
        <w:tc>
          <w:tcPr>
            <w:tcW w:w="914"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≥90%</w:t>
            </w:r>
          </w:p>
        </w:tc>
        <w:tc>
          <w:tcPr>
            <w:tcW w:w="1423" w:type="dxa"/>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90%</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r>
        <w:trPr>
          <w:trHeight w:val="625"/>
        </w:trPr>
        <w:tc>
          <w:tcPr>
            <w:tcW w:w="6346" w:type="dxa"/>
            <w:gridSpan w:val="7"/>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总分</w:t>
            </w:r>
          </w:p>
        </w:tc>
        <w:tc>
          <w:tcPr>
            <w:tcW w:w="763"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100.0</w:t>
            </w:r>
          </w:p>
        </w:tc>
        <w:tc>
          <w:tcPr>
            <w:tcW w:w="796"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r>
              <w:rPr>
                <w:rFonts w:ascii="宋体" w:hint="eastAsia"/>
                <w:sz w:val="18"/>
              </w:rPr>
              <w:t>100.0</w:t>
            </w:r>
          </w:p>
        </w:tc>
        <w:tc>
          <w:tcPr>
            <w:tcW w:w="1338" w:type="dxa"/>
            <w:gridSpan w:val="2"/>
            <w:tcBorders>
              <w:top w:val="single" w:sz="6" w:space="0" w:color="000000"/>
              <w:left w:val="single" w:sz="6" w:space="0" w:color="000000"/>
              <w:bottom w:val="single" w:sz="6" w:space="0" w:color="000000"/>
              <w:right w:val="single" w:sz="6" w:space="0" w:color="000000"/>
            </w:tcBorders>
            <w:noWrap/>
            <w:vAlign w:val="center"/>
          </w:tcPr>
          <w:p>
            <w:pPr>
              <w:jc w:val="center"/>
              <w:rPr>
                <w:rFonts w:ascii="宋体"/>
                <w:sz w:val="18"/>
              </w:rPr>
            </w:pPr>
          </w:p>
        </w:tc>
      </w:tr>
    </w:tbl>
    <w:p>
      <w:pPr>
        <w:autoSpaceDN w:val="0"/>
        <w:spacing w:line="560" w:lineRule="exact"/>
        <w:rPr>
          <w:rFonts w:eastAsia="方正仿宋_GBK"/>
          <w:kern w:val="0"/>
          <w:sz w:val="32"/>
          <w:szCs w:val="32"/>
        </w:rPr>
      </w:pPr>
    </w:p>
    <w:p>
      <w:pPr>
        <w:autoSpaceDN w:val="0"/>
        <w:spacing w:line="560" w:lineRule="exact"/>
        <w:rPr>
          <w:rFonts w:eastAsia="方正仿宋_GBK"/>
          <w:kern w:val="0"/>
          <w:sz w:val="32"/>
          <w:szCs w:val="32"/>
        </w:rPr>
      </w:pPr>
    </w:p>
    <w:p>
      <w:pPr>
        <w:autoSpaceDN w:val="0"/>
        <w:spacing w:line="560" w:lineRule="exact"/>
        <w:rPr>
          <w:rFonts w:eastAsia="方正仿宋_GBK"/>
          <w:kern w:val="0"/>
          <w:sz w:val="32"/>
          <w:szCs w:val="32"/>
        </w:rPr>
      </w:pPr>
    </w:p>
    <w:p>
      <w:pPr>
        <w:autoSpaceDN w:val="0"/>
        <w:spacing w:line="560" w:lineRule="exact"/>
        <w:rPr>
          <w:rFonts w:eastAsia="方正仿宋_GBK"/>
          <w:kern w:val="0"/>
          <w:sz w:val="32"/>
          <w:szCs w:val="32"/>
        </w:rPr>
      </w:pPr>
    </w:p>
    <w:p>
      <w:pPr>
        <w:autoSpaceDN w:val="0"/>
        <w:spacing w:line="560" w:lineRule="exact"/>
        <w:rPr>
          <w:rFonts w:eastAsia="方正仿宋_GBK"/>
          <w:kern w:val="0"/>
          <w:sz w:val="32"/>
          <w:szCs w:val="32"/>
        </w:rPr>
      </w:pPr>
    </w:p>
    <w:p>
      <w:pPr>
        <w:autoSpaceDN w:val="0"/>
        <w:spacing w:line="560" w:lineRule="exact"/>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eastAsia="方正仿宋_GBK"/>
          <w:kern w:val="0"/>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800" w:lineRule="exact"/>
        <w:ind w:firstLineChars="200" w:firstLine="1440"/>
        <w:rPr>
          <w:rFonts w:ascii="方正黑体_GBK" w:eastAsia="方正黑体_GBK"/>
          <w:sz w:val="72"/>
          <w:szCs w:val="72"/>
        </w:rPr>
      </w:pPr>
      <w:r>
        <w:rPr>
          <w:rFonts w:ascii="方正黑体_GBK" w:eastAsia="方正黑体_GBK" w:hint="eastAsia"/>
          <w:sz w:val="72"/>
          <w:szCs w:val="72"/>
        </w:rPr>
        <w:t>第四部分 名词解释</w:t>
      </w: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eastAsia="方正仿宋_GBK"/>
          <w:sz w:val="32"/>
          <w:szCs w:val="32"/>
        </w:rPr>
      </w:pPr>
      <w:r>
        <w:rPr>
          <w:rFonts w:ascii="方正仿宋_GBK" w:eastAsia="方正仿宋_GBK" w:hint="eastAsia"/>
          <w:b/>
          <w:bCs/>
          <w:sz w:val="32"/>
          <w:szCs w:val="32"/>
        </w:rPr>
        <w:t>一、一般公共预算财政拨款收入：</w:t>
      </w:r>
      <w:r>
        <w:rPr>
          <w:rFonts w:eastAsia="方正仿宋_GBK" w:hint="eastAsia"/>
          <w:sz w:val="32"/>
          <w:szCs w:val="32"/>
        </w:rPr>
        <w:t>指中央财政当年拨付的资金。</w:t>
      </w:r>
    </w:p>
    <w:p>
      <w:pPr>
        <w:autoSpaceDN w:val="0"/>
        <w:spacing w:line="560" w:lineRule="exact"/>
        <w:ind w:firstLineChars="200" w:firstLine="640"/>
        <w:rPr>
          <w:rFonts w:eastAsia="方正仿宋_GBK"/>
          <w:sz w:val="32"/>
          <w:szCs w:val="32"/>
        </w:rPr>
      </w:pPr>
      <w:r>
        <w:rPr>
          <w:rFonts w:ascii="方正仿宋_GBK" w:eastAsia="方正仿宋_GBK" w:hint="eastAsia"/>
          <w:b/>
          <w:bCs/>
          <w:sz w:val="32"/>
          <w:szCs w:val="32"/>
        </w:rPr>
        <w:t>二、其他收入：</w:t>
      </w:r>
      <w:r>
        <w:rPr>
          <w:rFonts w:eastAsia="方正仿宋_GBK" w:hint="eastAsia"/>
          <w:sz w:val="32"/>
          <w:szCs w:val="32"/>
        </w:rPr>
        <w:t>指除上述一般公共预算财政拨款收入、事业收入、事业单位经营收入等以外的收入。主要是非同级财政拨款收入、存款利息收入等。</w:t>
      </w:r>
    </w:p>
    <w:p>
      <w:pPr>
        <w:autoSpaceDN w:val="0"/>
        <w:spacing w:line="560" w:lineRule="exact"/>
        <w:ind w:firstLineChars="200" w:firstLine="640"/>
        <w:rPr>
          <w:rFonts w:ascii="方正仿宋_GBK" w:eastAsia="方正仿宋_GBK"/>
          <w:b/>
          <w:bCs/>
          <w:sz w:val="32"/>
          <w:szCs w:val="32"/>
        </w:rPr>
      </w:pPr>
      <w:r>
        <w:rPr>
          <w:rFonts w:ascii="方正仿宋_GBK" w:eastAsia="方正仿宋_GBK" w:hint="eastAsia"/>
          <w:b/>
          <w:bCs/>
          <w:sz w:val="32"/>
          <w:szCs w:val="32"/>
        </w:rPr>
        <w:t>三、年初结转和结余：</w:t>
      </w:r>
      <w:r>
        <w:rPr>
          <w:rFonts w:ascii="方正仿宋_GBK" w:eastAsia="方正仿宋_GBK" w:hint="eastAsia"/>
          <w:sz w:val="32"/>
          <w:szCs w:val="32"/>
        </w:rPr>
        <w:t>指单位以前年度尚未完成、结转到本年仍按原规定用途继续使用的资金，或项目已完成等产生的结余资金。</w:t>
      </w:r>
    </w:p>
    <w:p>
      <w:pPr>
        <w:autoSpaceDN w:val="0"/>
        <w:spacing w:line="560" w:lineRule="exact"/>
        <w:ind w:firstLineChars="200" w:firstLine="640"/>
      </w:pPr>
      <w:r>
        <w:rPr>
          <w:rFonts w:ascii="方正仿宋_GBK" w:eastAsia="方正仿宋_GBK" w:hint="eastAsia"/>
          <w:b/>
          <w:bCs/>
          <w:sz w:val="32"/>
          <w:szCs w:val="32"/>
        </w:rPr>
        <w:t>四、一般公共服务（类）海关事务（款）：</w:t>
      </w:r>
      <w:r>
        <w:rPr>
          <w:rFonts w:eastAsia="方正仿宋_GBK" w:hint="eastAsia"/>
          <w:sz w:val="32"/>
          <w:szCs w:val="32"/>
        </w:rPr>
        <w:t>反映海关用于系统行政和事业单位的基本支出及完成专项业务工作的项目支出。</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行政运行（项）</w:t>
      </w:r>
      <w:r>
        <w:rPr>
          <w:rFonts w:eastAsia="方正仿宋_GBK" w:hint="eastAsia"/>
          <w:sz w:val="32"/>
          <w:szCs w:val="32"/>
        </w:rPr>
        <w:t>反映海关系统（包括参照公务员管理的事业单位）的基本支出。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海关关务（项）：</w:t>
      </w:r>
      <w:r>
        <w:rPr>
          <w:rFonts w:eastAsia="方正仿宋_GBK" w:hint="eastAsia"/>
          <w:sz w:val="32"/>
          <w:szCs w:val="32"/>
        </w:rPr>
        <w:t>反映海关现场综合业务费、基本建设和资产运行维护方面的支出。</w:t>
      </w:r>
    </w:p>
    <w:p>
      <w:pPr>
        <w:pStyle w:val="54"/>
        <w:spacing w:line="560" w:lineRule="exact"/>
        <w:ind w:firstLineChars="224" w:firstLine="717"/>
        <w:jc w:val="both"/>
        <w:rPr>
          <w:rFonts w:eastAsia="方正仿宋_GBK"/>
          <w:color w:val="auto"/>
          <w:kern w:val="2"/>
          <w:sz w:val="32"/>
          <w:szCs w:val="32"/>
        </w:rPr>
      </w:pPr>
      <w:r>
        <w:rPr>
          <w:rFonts w:ascii="方正仿宋_GBK" w:eastAsia="方正仿宋_GBK" w:hint="eastAsia"/>
          <w:b/>
          <w:bCs/>
          <w:color w:val="auto"/>
          <w:sz w:val="32"/>
          <w:szCs w:val="32"/>
        </w:rPr>
        <w:t>五、年末结转和结余：</w:t>
      </w:r>
      <w:r>
        <w:rPr>
          <w:rFonts w:eastAsia="方正仿宋_GBK" w:hint="eastAsia"/>
          <w:color w:val="auto"/>
          <w:kern w:val="2"/>
          <w:sz w:val="32"/>
          <w:szCs w:val="32"/>
        </w:rPr>
        <w:t>指单位按有关规定结转到下年或以后年度继续使用的资金，或项目已完成等产生的结余资金。</w:t>
      </w:r>
    </w:p>
    <w:p>
      <w:pPr>
        <w:pStyle w:val="54"/>
        <w:spacing w:line="560" w:lineRule="exact"/>
        <w:ind w:firstLineChars="224" w:firstLine="717"/>
        <w:jc w:val="both"/>
        <w:rPr>
          <w:rFonts w:eastAsia="方正仿宋_GBK"/>
          <w:color w:val="auto"/>
          <w:sz w:val="32"/>
          <w:szCs w:val="32"/>
        </w:rPr>
      </w:pPr>
      <w:r>
        <w:rPr>
          <w:rFonts w:ascii="方正仿宋_GBK" w:eastAsia="方正仿宋_GBK" w:hint="eastAsia"/>
          <w:b/>
          <w:bCs/>
          <w:color w:val="auto"/>
          <w:sz w:val="32"/>
          <w:szCs w:val="32"/>
        </w:rPr>
        <w:t>六、基本支出：</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ascii="方正仿宋_GBK" w:eastAsia="方正仿宋_GBK" w:hint="eastAsia"/>
          <w:b/>
          <w:bCs/>
          <w:kern w:val="0"/>
          <w:sz w:val="32"/>
          <w:szCs w:val="32"/>
        </w:rPr>
        <w:t>七、项目支出：</w:t>
      </w:r>
      <w:r>
        <w:rPr>
          <w:rFonts w:eastAsia="方正仿宋_GBK" w:hint="eastAsia"/>
          <w:kern w:val="0"/>
          <w:sz w:val="32"/>
          <w:szCs w:val="32"/>
        </w:rPr>
        <w:t>指在基本支出之外为完成特定行政任务或事业发展目标所发生的支出。</w:t>
      </w:r>
    </w:p>
    <w:p>
      <w:pPr>
        <w:autoSpaceDN w:val="0"/>
        <w:spacing w:line="560" w:lineRule="exact"/>
        <w:ind w:firstLineChars="200" w:firstLine="640"/>
        <w:rPr>
          <w:rFonts w:eastAsia="方正仿宋_GBK"/>
          <w:sz w:val="32"/>
          <w:szCs w:val="32"/>
        </w:rPr>
      </w:pPr>
      <w:r>
        <w:rPr>
          <w:rFonts w:ascii="方正仿宋_GBK" w:eastAsia="方正仿宋_GBK" w:hint="eastAsia"/>
          <w:b/>
          <w:bCs/>
          <w:kern w:val="0"/>
          <w:sz w:val="32"/>
          <w:szCs w:val="32"/>
        </w:rPr>
        <w:t>八、“三公经费”：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autoSpaceDN w:val="0"/>
        <w:spacing w:line="560" w:lineRule="exact"/>
        <w:ind w:firstLineChars="200" w:firstLine="640"/>
        <w:rPr>
          <w:rFonts w:eastAsia="方正仿宋_GBK"/>
          <w:sz w:val="32"/>
          <w:szCs w:val="32"/>
        </w:rPr>
      </w:pPr>
      <w:r>
        <w:rPr>
          <w:rFonts w:ascii="方正仿宋_GBK" w:eastAsia="方正仿宋_GBK" w:hint="eastAsia"/>
          <w:b/>
          <w:bCs/>
          <w:kern w:val="0"/>
          <w:sz w:val="32"/>
          <w:szCs w:val="32"/>
        </w:rPr>
        <w:t>九、</w:t>
      </w:r>
      <w:r>
        <w:rPr>
          <w:rFonts w:ascii="方正仿宋_GBK" w:eastAsia="方正仿宋_GBK" w:hint="eastAsia"/>
          <w:b/>
          <w:bCs/>
          <w:sz w:val="32"/>
          <w:szCs w:val="32"/>
        </w:rPr>
        <w:t>机关运行经费：</w:t>
      </w:r>
      <w:r>
        <w:rPr>
          <w:rFonts w:eastAsia="方正仿宋_GBK"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w:type="default" r:id="rId6"/>
      <w:pgSz w:w="11907" w:h="16840"/>
      <w:pgMar w:top="1134" w:right="1440" w:bottom="1134" w:left="1440" w:header="851" w:footer="992" w:gutter="0"/>
      <w:pgNumType w:start="11" w:chapStyle="1"/>
      <w:docGrid w:linePitch="312" w:charSpace="0"/>
    </w:sectPr>
  </w:body>
</w:document>
</file>

<file path=word/fontTable.xml><?xml version="1.0" encoding="utf-8"?>
<w:fonts xmlns:w="http://schemas.openxmlformats.org/wordprocessingml/2006/main" xmlns:r="http://schemas.openxmlformats.org/officeDocument/2006/relationships">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00"/>
    <w:family w:val="auto"/>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ind w:firstLineChars="1400" w:firstLine="4480"/>
    </w:pPr>
    <w:r>
      <w:rPr>
        <w:rFonts w:ascii="方正楷体_GBK" w:eastAsia="方正楷体_GBK"/>
        <w:b/>
        <w:bCs/>
        <w:sz w:val="32"/>
        <w:szCs w:val="32"/>
      </w:rPr>
      <mc:AlternateContent>
        <mc:Choice Requires="wps">
          <w:drawing>
            <wp:anchor distT="0" distB="0" distL="0" distR="0" simplePos="0" relativeHeight="32" behindDoc="0" locked="0" layoutInCell="1" hidden="0" allowOverlap="1">
              <wp:simplePos x="0" y="0"/>
              <wp:positionH relativeFrom="margin">
                <wp:align>center</wp:align>
              </wp:positionH>
              <wp:positionV relativeFrom="paragraph">
                <wp:posOffset>2540</wp:posOffset>
              </wp:positionV>
              <wp:extent cx="34925" cy="153035"/>
              <wp:effectExtent l="0" t="0" r="0" b="0"/>
              <wp:wrapSquare wrapText="bothSides"/>
              <wp:docPr id="1" name="矩形 1"/>
              <wp:cNvGraphicFramePr>
                <a:graphicFrameLocks noChangeAspect="0"/>
              </wp:cNvGraphicFramePr>
              <a:graphic>
                <a:graphicData uri="http://schemas.microsoft.com/office/word/2010/wordprocessingShape">
                  <wps:wsp>
                    <wps:cNvSpPr/>
                    <wps:spPr>
                      <a:xfrm rot="0">
                        <a:off x="0" y="0"/>
                        <a:ext cx="34925" cy="153035"/>
                      </a:xfrm>
                      <a:prstGeom prst="rect"/>
                      <a:noFill/>
                      <a:ln w="9525" cmpd="sng" cap="flat">
                        <a:noFill/>
                        <a:prstDash val="solid"/>
                        <a:miter/>
                      </a:ln>
                    </wps:spPr>
                    <wps:txbx id="2">
                      <w:txbxContent>
                        <w:p/>
                      </w:txbxContent>
                    </wps:txbx>
                    <wps:bodyPr vert="horz" wrap="none" lIns="12708" tIns="0" rIns="12708" bIns="0" anchor="t" anchorCtr="0" upright="1">
                      <a:spAutoFit/>
                    </wps:bodyPr>
                  </wps:wsp>
                </a:graphicData>
              </a:graphic>
            </wp:anchor>
          </w:drawing>
        </mc:Choice>
        <mc:Fallback>
          <w:pict>
            <v:rect type="#_x0000_t1" id="矩形 3" o:spid="_x0000_s3" filled="f" stroked="f" style="position:absolute;margin-left:0.0pt;margin-top:0.2pt;width:2.75pt;height:12.05pt;z-index:32;mso-position-horizontal:center;mso-position-horizontal-relative:margin;mso-position-vertical:absolute;mso-wrap-distance-left:0.0pt;mso-wrap-distance-right:0.0pt;mso-wrap-style:none;">
              <v:stroke color="#000000"/>
              <v:textbox id="858" inset="0.353mm,0mm,0.353mm,0mm" o:insetmode="custom" style="layout-flow:horizontal;v-text-anchor:top;mso-fit-shape-to-text:t;">
                <w:txbxContent>
                  <w:p/>
                </w:txbxContent>
              </v:textbox>
              <w10:wrap type="square"/>
            </v:rect>
          </w:pict>
        </mc:Fallback>
      </mc:AlternateContent>
    </w:r>
    <w:r>
      <w:rPr>
        <w:b/>
        <w:bCs/>
        <w:sz w:val="84"/>
        <w:szCs w:val="84"/>
      </w:rPr>
      <mc:AlternateContent>
        <mc:Choice Requires="wps">
          <w:drawing>
            <wp:anchor distT="0" distB="0" distL="0" distR="0" simplePos="0" relativeHeight="34" behindDoc="0" locked="0" layoutInCell="1" hidden="0" allowOverlap="1">
              <wp:simplePos x="0" y="0"/>
              <wp:positionH relativeFrom="margin">
                <wp:align>center</wp:align>
              </wp:positionH>
              <wp:positionV relativeFrom="paragraph">
                <wp:posOffset>3133089</wp:posOffset>
              </wp:positionV>
              <wp:extent cx="34925" cy="131444"/>
              <wp:effectExtent l="0" t="0" r="0" b="0"/>
              <wp:wrapSquare wrapText="bothSides"/>
              <wp:docPr id="4" name="矩形 4"/>
              <wp:cNvGraphicFramePr>
                <a:graphicFrameLocks noChangeAspect="0"/>
              </wp:cNvGraphicFramePr>
              <a:graphic>
                <a:graphicData uri="http://schemas.microsoft.com/office/word/2010/wordprocessingShape">
                  <wps:wsp>
                    <wps:cNvSpPr/>
                    <wps:spPr>
                      <a:xfrm rot="0">
                        <a:off x="0" y="0"/>
                        <a:ext cx="34925" cy="131444"/>
                      </a:xfrm>
                      <a:prstGeom prst="rect"/>
                      <a:noFill/>
                      <a:ln w="9525" cmpd="sng" cap="flat">
                        <a:noFill/>
                        <a:prstDash val="solid"/>
                        <a:miter/>
                      </a:ln>
                    </wps:spPr>
                    <wps:txbx id="5">
                      <w:txbxContent>
                        <w:p>
                          <w:pPr>
                            <w:pStyle w:val="39"/>
                            <w:tabs>
                              <w:tab w:val="center" w:pos="4153"/>
                              <w:tab w:val="right" w:pos="8306"/>
                            </w:tabs>
                          </w:pPr>
                        </w:p>
                      </w:txbxContent>
                    </wps:txbx>
                    <wps:bodyPr vert="horz" wrap="none" lIns="12708" tIns="0" rIns="12708" bIns="0" anchor="t" anchorCtr="0" upright="1">
                      <a:spAutoFit/>
                    </wps:bodyPr>
                  </wps:wsp>
                </a:graphicData>
              </a:graphic>
            </wp:anchor>
          </w:drawing>
        </mc:Choice>
        <mc:Fallback>
          <w:pict>
            <v:rect type="#_x0000_t1" id="矩形 6" o:spid="_x0000_s6" filled="f" stroked="f" style="position:absolute;margin-left:0.0pt;margin-top:246.69998pt;width:2.75pt;height:10.349994pt;z-index:34;mso-position-horizontal:center;mso-position-horizontal-relative:margin;mso-position-vertical:absolute;mso-wrap-distance-left:0.0pt;mso-wrap-distance-right:0.0pt;mso-wrap-style:none;">
              <v:stroke color="#000000"/>
              <v:textbox id="859" inset="0.353mm,0mm,0.353mm,0mm" o:insetmode="custom" style="layout-flow:horizontal;v-text-anchor:top;mso-fit-shape-to-text:t;">
                <w:txbxContent>
                  <w:p>
                    <w:pPr>
                      <w:pStyle w:val="39"/>
                      <w:tabs>
                        <w:tab w:val="center" w:pos="4153"/>
                        <w:tab w:val="right" w:pos="8306"/>
                      </w:tabs>
                    </w:pPr>
                  </w:p>
                </w:txbxContent>
              </v:textbox>
              <w10:wrap type="square"/>
            </v:rect>
          </w:pict>
        </mc:Fallback>
      </mc:AlternateContent>
    </w:r>
    <w:r>
      <w:fldChar w:fldCharType="begin"/>
    </w:r>
    <w:r>
      <w:instrText>Page</w:instrText>
    </w:r>
    <w:r>
      <w:fldChar w:fldCharType="separate"/>
    </w:r>
    <w:r>
      <w:t>4</w:t>
    </w:r>
    <w:r>
      <w:fldChar w:fldCharType="end"/>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pPr>
    <w:r>
      <w:rPr>
        <w:rFonts w:ascii="宋体"/>
      </w:rPr>
      <mc:AlternateContent>
        <mc:Choice Requires="wps">
          <w:drawing>
            <wp:anchor distT="0" distB="0" distL="0" distR="0" simplePos="0" relativeHeight="30"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7" name="矩形 7"/>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8">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9" o:spid="_x0000_s9" filled="f" stroked="f" style="position:absolute;margin-left:0.0pt;margin-top:0.0pt;width:6.5pt;height:10.35pt;z-index:30;mso-position-horizontal:center;mso-position-horizontal-relative:margin;mso-position-vertical:absolute;mso-wrap-distance-left:0.0pt;mso-wrap-distance-right:0.0pt;mso-wrap-style:none;">
              <v:stroke color="#000000"/>
              <v:textbox id="853"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v:textbox>
              <w10:wrap type="square"/>
            </v:rect>
          </w:pict>
        </mc:Fallback>
      </mc:AlternateContent>
    </w:r>
    <w:r>
      <w:rPr>
        <w:rFonts w:ascii="方正仿宋_GBK" w:eastAsia="方正仿宋_GBK"/>
        <w:sz w:val="32"/>
        <w:szCs w:val="32"/>
      </w:rPr>
      <mc:AlternateContent>
        <mc:Choice Requires="wps">
          <w:drawing>
            <wp:anchor distT="0" distB="0" distL="0" distR="0" simplePos="0" relativeHeight="31"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0" name="矩形 10"/>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1">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2" o:spid="_x0000_s12" filled="f" stroked="f" style="position:absolute;margin-left:0.0pt;margin-top:0.0pt;width:6.5pt;height:10.35pt;z-index:31;mso-position-horizontal:center;mso-position-horizontal-relative:margin;mso-position-vertical:absolute;mso-wrap-distance-left:0.0pt;mso-wrap-distance-right:0.0pt;mso-wrap-style:none;">
              <v:stroke color="#000000"/>
              <v:textbox id="854"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v:textbox>
              <w10:wrap type="square"/>
            </v:rect>
          </w:pict>
        </mc:Fallback>
      </mc:AlternateContent>
    </w:r>
    <w:r>
      <w:rPr>
        <w:b/>
        <w:bCs/>
        <w:sz w:val="84"/>
        <w:szCs w:val="84"/>
      </w:rPr>
      <mc:AlternateContent>
        <mc:Choice Requires="wps">
          <w:drawing>
            <wp:anchor distT="0" distB="0" distL="0" distR="0" simplePos="0" relativeHeight="33"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3" name="矩形 13"/>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4">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5" o:spid="_x0000_s15" filled="f" stroked="f" style="position:absolute;margin-left:0.0pt;margin-top:0.0pt;width:6.5pt;height:10.35pt;z-index:33;mso-position-horizontal:center;mso-position-horizontal-relative:margin;mso-position-vertical:absolute;mso-wrap-distance-left:0.0pt;mso-wrap-distance-right:0.0pt;mso-wrap-style:none;">
              <v:stroke color="#000000"/>
              <v:textbox id="855"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v:textbox>
              <w10:wrap type="square"/>
            </v:rect>
          </w:pict>
        </mc:Fallback>
      </mc:AlternateContent>
    </w:r>
    <w:r>
      <w:rPr>
        <w:rFonts w:ascii="方正黑体_GBK" w:eastAsia="方正黑体_GBK"/>
        <w:sz w:val="72"/>
        <w:szCs w:val="72"/>
      </w:rPr>
      <mc:AlternateContent>
        <mc:Choice Requires="wps">
          <w:drawing>
            <wp:anchor distT="0" distB="0" distL="0" distR="0" simplePos="0" relativeHeight="35"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6" name="矩形 16"/>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7">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8" o:spid="_x0000_s18" filled="f" stroked="f" style="position:absolute;margin-left:0.0pt;margin-top:0.0pt;width:6.5pt;height:10.35pt;z-index:35;mso-position-horizontal:center;mso-position-horizontal-relative:margin;mso-position-vertical:absolute;mso-wrap-distance-left:0.0pt;mso-wrap-distance-right:0.0pt;mso-wrap-style:none;">
              <v:stroke color="#000000"/>
              <v:textbox id="856"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v:textbox>
              <w10:wrap type="square"/>
            </v:rect>
          </w:pict>
        </mc:Fallback>
      </mc:AlternateContent>
    </w:r>
    <w:r>
      <w:rPr>
        <w:rFonts w:ascii="方正楷体_GBK" w:eastAsia="方正楷体_GBK"/>
        <w:b/>
        <w:bCs/>
        <w:sz w:val="32"/>
        <w:szCs w:val="32"/>
      </w:rPr>
      <mc:AlternateContent>
        <mc:Choice Requires="wps">
          <w:drawing>
            <wp:anchor distT="0" distB="0" distL="0" distR="0" simplePos="0" relativeHeight="39"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9" name="矩形 19"/>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20">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21" o:spid="_x0000_s21" filled="f" stroked="f" style="position:absolute;margin-left:0.0pt;margin-top:0.0pt;width:6.5pt;height:10.35pt;z-index:39;mso-position-horizontal:center;mso-position-horizontal-relative:margin;mso-position-vertical:absolute;mso-wrap-distance-left:0.0pt;mso-wrap-distance-right:0.0pt;mso-wrap-style:none;">
              <v:stroke color="#000000"/>
              <v:textbox id="857"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16</w:t>
                    </w:r>
                    <w:r>
                      <w:rPr>
                        <w:rStyle w:val="60"/>
                      </w:rPr>
                      <w:fldChar w:fldCharType="end"/>
                    </w:r>
                  </w:p>
                </w:txbxContent>
              </v:textbox>
              <w10:wrap type="square"/>
            </v:rect>
          </w:pict>
        </mc:Fallback>
      </mc:AlternateContent>
    </w: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ind w:firstLineChars="1400" w:firstLine="4480"/>
    </w:pPr>
    <w:r>
      <w:rPr>
        <w:rFonts w:ascii="方正楷体_GBK" w:eastAsia="方正楷体_GBK"/>
        <w:b/>
        <w:bCs/>
        <w:sz w:val="32"/>
        <w:szCs w:val="32"/>
      </w:rPr>
      <mc:AlternateContent>
        <mc:Choice Requires="wps">
          <w:drawing>
            <wp:anchor distT="0" distB="0" distL="0" distR="0" simplePos="0" relativeHeight="37" behindDoc="0" locked="0" layoutInCell="1" hidden="0" allowOverlap="1">
              <wp:simplePos x="0" y="0"/>
              <wp:positionH relativeFrom="margin">
                <wp:align>center</wp:align>
              </wp:positionH>
              <wp:positionV relativeFrom="paragraph">
                <wp:posOffset>1905</wp:posOffset>
              </wp:positionV>
              <wp:extent cx="34925" cy="153035"/>
              <wp:effectExtent l="0" t="0" r="0" b="0"/>
              <wp:wrapSquare wrapText="bothSides"/>
              <wp:docPr id="22" name="矩形 22"/>
              <wp:cNvGraphicFramePr>
                <a:graphicFrameLocks noChangeAspect="0"/>
              </wp:cNvGraphicFramePr>
              <a:graphic>
                <a:graphicData uri="http://schemas.microsoft.com/office/word/2010/wordprocessingShape">
                  <wps:wsp>
                    <wps:cNvSpPr/>
                    <wps:spPr>
                      <a:xfrm rot="0">
                        <a:off x="0" y="0"/>
                        <a:ext cx="34925" cy="153035"/>
                      </a:xfrm>
                      <a:prstGeom prst="rect"/>
                      <a:noFill/>
                      <a:ln w="9525" cmpd="sng" cap="flat">
                        <a:noFill/>
                        <a:prstDash val="solid"/>
                        <a:miter/>
                      </a:ln>
                    </wps:spPr>
                    <wps:txbx id="23">
                      <w:txbxContent>
                        <w:p/>
                      </w:txbxContent>
                    </wps:txbx>
                    <wps:bodyPr vert="horz" wrap="none" lIns="12708" tIns="0" rIns="12708" bIns="0" anchor="t" anchorCtr="0" upright="1">
                      <a:spAutoFit/>
                    </wps:bodyPr>
                  </wps:wsp>
                </a:graphicData>
              </a:graphic>
            </wp:anchor>
          </w:drawing>
        </mc:Choice>
        <mc:Fallback>
          <w:pict>
            <v:rect type="#_x0000_t1" id="矩形 24" o:spid="_x0000_s24" filled="f" stroked="f" style="position:absolute;margin-left:0.0pt;margin-top:0.15pt;width:2.75pt;height:12.05pt;z-index:37;mso-position-horizontal:center;mso-position-horizontal-relative:margin;mso-position-vertical:absolute;mso-wrap-distance-left:0.0pt;mso-wrap-distance-right:0.0pt;mso-wrap-style:none;">
              <v:stroke color="#000000"/>
              <v:textbox id="860" inset="0.353mm,0mm,0.353mm,0mm" o:insetmode="custom" style="layout-flow:horizontal;v-text-anchor:top;mso-fit-shape-to-text:t;">
                <w:txbxContent>
                  <w:p/>
                </w:txbxContent>
              </v:textbox>
              <w10:wrap type="square"/>
            </v:rect>
          </w:pict>
        </mc:Fallback>
      </mc:AlternateContent>
    </w:r>
    <w:r>
      <w:rPr>
        <w:b/>
        <w:bCs/>
        <w:sz w:val="84"/>
        <w:szCs w:val="84"/>
      </w:rPr>
      <mc:AlternateContent>
        <mc:Choice Requires="wps">
          <w:drawing>
            <wp:anchor distT="0" distB="0" distL="0" distR="0" simplePos="0" relativeHeight="38" behindDoc="0" locked="0" layoutInCell="1" hidden="0" allowOverlap="1">
              <wp:simplePos x="0" y="0"/>
              <wp:positionH relativeFrom="margin">
                <wp:align>center</wp:align>
              </wp:positionH>
              <wp:positionV relativeFrom="paragraph">
                <wp:posOffset>3133089</wp:posOffset>
              </wp:positionV>
              <wp:extent cx="34925" cy="131444"/>
              <wp:effectExtent l="0" t="0" r="0" b="0"/>
              <wp:wrapSquare wrapText="bothSides"/>
              <wp:docPr id="25" name="矩形 25"/>
              <wp:cNvGraphicFramePr>
                <a:graphicFrameLocks noChangeAspect="0"/>
              </wp:cNvGraphicFramePr>
              <a:graphic>
                <a:graphicData uri="http://schemas.microsoft.com/office/word/2010/wordprocessingShape">
                  <wps:wsp>
                    <wps:cNvSpPr/>
                    <wps:spPr>
                      <a:xfrm rot="0">
                        <a:off x="0" y="0"/>
                        <a:ext cx="34925" cy="131444"/>
                      </a:xfrm>
                      <a:prstGeom prst="rect"/>
                      <a:noFill/>
                      <a:ln w="9525" cmpd="sng" cap="flat">
                        <a:noFill/>
                        <a:prstDash val="solid"/>
                        <a:miter/>
                      </a:ln>
                    </wps:spPr>
                    <wps:txbx id="26">
                      <w:txbxContent>
                        <w:p>
                          <w:pPr>
                            <w:pStyle w:val="39"/>
                            <w:tabs>
                              <w:tab w:val="center" w:pos="4153"/>
                              <w:tab w:val="right" w:pos="8306"/>
                            </w:tabs>
                          </w:pPr>
                        </w:p>
                      </w:txbxContent>
                    </wps:txbx>
                    <wps:bodyPr vert="horz" wrap="none" lIns="12708" tIns="0" rIns="12708" bIns="0" anchor="t" anchorCtr="0" upright="1">
                      <a:spAutoFit/>
                    </wps:bodyPr>
                  </wps:wsp>
                </a:graphicData>
              </a:graphic>
            </wp:anchor>
          </w:drawing>
        </mc:Choice>
        <mc:Fallback>
          <w:pict>
            <v:rect type="#_x0000_t1" id="矩形 27" o:spid="_x0000_s27" filled="f" stroked="f" style="position:absolute;margin-left:0.0pt;margin-top:246.69998pt;width:2.75pt;height:10.349994pt;z-index:38;mso-position-horizontal:center;mso-position-horizontal-relative:margin;mso-position-vertical:absolute;mso-wrap-distance-left:0.0pt;mso-wrap-distance-right:0.0pt;mso-wrap-style:none;">
              <v:stroke color="#000000"/>
              <v:textbox id="861" inset="0.353mm,0mm,0.353mm,0mm" o:insetmode="custom" style="layout-flow:horizontal;v-text-anchor:top;mso-fit-shape-to-text:t;">
                <w:txbxContent>
                  <w:p>
                    <w:pPr>
                      <w:pStyle w:val="39"/>
                      <w:tabs>
                        <w:tab w:val="center" w:pos="4153"/>
                        <w:tab w:val="right" w:pos="8306"/>
                      </w:tabs>
                    </w:pPr>
                  </w:p>
                </w:txbxContent>
              </v:textbox>
              <w10:wrap type="square"/>
            </v:rect>
          </w:pict>
        </mc:Fallback>
      </mc:AlternateContent>
    </w:r>
    <w:r>
      <w:fldChar w:fldCharType="begin"/>
    </w:r>
    <w:r>
      <w:instrText>Page</w:instrText>
    </w:r>
    <w:r>
      <w:fldChar w:fldCharType="separate"/>
    </w:r>
    <w:r>
      <w:t>11</w:t>
    </w:r>
    <w:r>
      <w:fldChar w:fldCharType="end"/>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pPr>
    <w:r>
      <w:rPr>
        <w:rFonts w:ascii="方正楷体_GBK" w:eastAsia="方正楷体_GBK"/>
        <w:b/>
        <w:bCs/>
        <w:sz w:val="32"/>
        <w:szCs w:val="32"/>
      </w:rPr>
      <mc:AlternateContent>
        <mc:Choice Requires="wps">
          <w:drawing>
            <wp:anchor distT="0" distB="0" distL="0" distR="0" simplePos="0" relativeHeight="36" behindDoc="0" locked="0" layoutInCell="1" hidden="0" allowOverlap="1">
              <wp:simplePos x="0" y="0"/>
              <wp:positionH relativeFrom="margin">
                <wp:align>center</wp:align>
              </wp:positionH>
              <wp:positionV relativeFrom="paragraph">
                <wp:posOffset>1905</wp:posOffset>
              </wp:positionV>
              <wp:extent cx="34925" cy="131445"/>
              <wp:effectExtent l="0" t="0" r="0" b="0"/>
              <wp:wrapSquare wrapText="bothSides"/>
              <wp:docPr id="28" name="矩形 28"/>
              <wp:cNvGraphicFramePr>
                <a:graphicFrameLocks noChangeAspect="0"/>
              </wp:cNvGraphicFramePr>
              <a:graphic>
                <a:graphicData uri="http://schemas.microsoft.com/office/word/2010/wordprocessingShape">
                  <wps:wsp>
                    <wps:cNvSpPr/>
                    <wps:spPr>
                      <a:xfrm rot="0">
                        <a:off x="0" y="0"/>
                        <a:ext cx="34925" cy="131445"/>
                      </a:xfrm>
                      <a:prstGeom prst="rect"/>
                      <a:noFill/>
                      <a:ln w="9525" cmpd="sng" cap="flat">
                        <a:noFill/>
                        <a:prstDash val="solid"/>
                        <a:miter/>
                      </a:ln>
                    </wps:spPr>
                    <wps:txbx id="29">
                      <w:txbxContent>
                        <w:p>
                          <w:pPr>
                            <w:pStyle w:val="39"/>
                            <w:tabs>
                              <w:tab w:val="center" w:pos="4153"/>
                              <w:tab w:val="right" w:pos="8306"/>
                            </w:tabs>
                          </w:pPr>
                        </w:p>
                      </w:txbxContent>
                    </wps:txbx>
                    <wps:bodyPr vert="horz" wrap="none" lIns="12708" tIns="0" rIns="12708" bIns="0" anchor="t" anchorCtr="0" upright="1">
                      <a:spAutoFit/>
                    </wps:bodyPr>
                  </wps:wsp>
                </a:graphicData>
              </a:graphic>
            </wp:anchor>
          </w:drawing>
        </mc:Choice>
        <mc:Fallback>
          <w:pict>
            <v:rect type="#_x0000_t1" id="矩形 30" o:spid="_x0000_s30" filled="f" stroked="f" style="position:absolute;margin-left:0.0pt;margin-top:0.15pt;width:2.75pt;height:10.35pt;z-index:36;mso-position-horizontal:center;mso-position-horizontal-relative:margin;mso-position-vertical:absolute;mso-wrap-distance-left:0.0pt;mso-wrap-distance-right:0.0pt;mso-wrap-style:none;">
              <v:stroke color="#000000"/>
              <v:textbox id="862" inset="0.353mm,0mm,0.353mm,0mm" o:insetmode="custom" style="layout-flow:horizontal;v-text-anchor:top;mso-fit-shape-to-text:t;">
                <w:txbxContent>
                  <w:p>
                    <w:pPr>
                      <w:pStyle w:val="39"/>
                      <w:tabs>
                        <w:tab w:val="center" w:pos="4153"/>
                        <w:tab w:val="right" w:pos="8306"/>
                      </w:tabs>
                    </w:pPr>
                  </w:p>
                </w:txbxContent>
              </v:textbox>
              <w10:wrap type="square"/>
            </v:rect>
          </w:pict>
        </mc:Fallback>
      </mc:AlternateContent>
    </w:r>
    <w:r>
      <w:rPr>
        <w:rFonts w:ascii="方正楷体_GBK" w:eastAsia="方正楷体_GBK"/>
        <w:b/>
        <w:bCs/>
        <w:sz w:val="32"/>
        <w:szCs w:val="32"/>
      </w:rPr>
      <mc:AlternateContent>
        <mc:Choice Requires="wps">
          <w:drawing>
            <wp:anchor distT="0" distB="0" distL="0" distR="0" simplePos="0" relativeHeight="40" behindDoc="0" locked="0" layoutInCell="1" hidden="0" allowOverlap="1">
              <wp:simplePos x="0" y="0"/>
              <wp:positionH relativeFrom="margin">
                <wp:align>center</wp:align>
              </wp:positionH>
              <wp:positionV relativeFrom="paragraph">
                <wp:posOffset>1905</wp:posOffset>
              </wp:positionV>
              <wp:extent cx="139700" cy="131445"/>
              <wp:effectExtent l="0" t="0" r="0" b="0"/>
              <wp:wrapSquare wrapText="bothSides"/>
              <wp:docPr id="31" name="矩形 31"/>
              <wp:cNvGraphicFramePr>
                <a:graphicFrameLocks noChangeAspect="0"/>
              </wp:cNvGraphicFramePr>
              <a:graphic>
                <a:graphicData uri="http://schemas.microsoft.com/office/word/2010/wordprocessingShape">
                  <wps:wsp>
                    <wps:cNvSpPr/>
                    <wps:spPr>
                      <a:xfrm rot="0">
                        <a:off x="0" y="0"/>
                        <a:ext cx="139700" cy="131445"/>
                      </a:xfrm>
                      <a:prstGeom prst="rect"/>
                      <a:noFill/>
                      <a:ln w="9525" cmpd="sng" cap="flat">
                        <a:noFill/>
                        <a:prstDash val="solid"/>
                        <a:miter/>
                      </a:ln>
                    </wps:spPr>
                    <wps:txbx id="32">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11</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33" o:spid="_x0000_s33" filled="f" stroked="f" style="position:absolute;margin-left:0.0pt;margin-top:0.15pt;width:11.0pt;height:10.35pt;z-index:40;mso-position-horizontal:center;mso-position-horizontal-relative:margin;mso-position-vertical:absolute;mso-wrap-distance-left:0.0pt;mso-wrap-distance-right:0.0pt;mso-wrap-style:none;">
              <v:stroke color="#000000"/>
              <v:textbox id="863"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11</w:t>
                    </w:r>
                    <w:r>
                      <w:rPr>
                        <w:rStyle w:val="60"/>
                      </w:rPr>
                      <w:fldChar w:fldCharType="end"/>
                    </w:r>
                  </w:p>
                </w:txbxContent>
              </v:textbox>
              <w10:wrap type="square"/>
            </v:rect>
          </w:pict>
        </mc:Fallback>
      </mc:AlternateContent>
    </w: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8"/>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customStyle="1" w:styleId="15">
    <w:name w:val="样式 2 10 磅"/>
    <w:next w:val="0"/>
    <w:pPr>
      <w:widowControl w:val="0"/>
      <w:jc w:val="both"/>
    </w:pPr>
    <w:rPr>
      <w:rFonts w:ascii="Times New Roman" w:eastAsia="宋体" w:cs="Times New Roman" w:hAnsi="Times New Roman"/>
      <w:kern w:val="2"/>
      <w:sz w:val="21"/>
      <w:szCs w:val="24"/>
      <w:lang w:val="en-US" w:eastAsia="zh-CN" w:bidi="ar-SA"/>
    </w:rPr>
  </w:style>
  <w:style w:type="paragraph" w:customStyle="1" w:styleId="16">
    <w:name w:val="Default"/>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character" w:customStyle="1" w:styleId="17">
    <w:name w:val="im-content1"/>
    <w:basedOn w:val="10"/>
    <w:rPr>
      <w:color w:val="000000"/>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4"/>
      <w:lang w:val="en-US" w:eastAsia="zh-CN" w:bidi="ar-SA"/>
    </w:rPr>
  </w:style>
  <w:style w:type="paragraph" w:styleId="20">
    <w:name w:val="toc 3"/>
    <w:basedOn w:val="0"/>
    <w:autoRedefine/>
    <w:next w:val="0"/>
    <w:pPr>
      <w:ind w:left="840"/>
    </w:pPr>
  </w:style>
  <w:style w:type="paragraph" w:styleId="21">
    <w:name w:val="toc 4"/>
    <w:basedOn w:val="0"/>
    <w:autoRedefine/>
    <w:next w:val="0"/>
    <w:pPr>
      <w:ind w:left="1260"/>
    </w:pPr>
  </w:style>
  <w:style w:type="paragraph" w:styleId="22">
    <w:name w:val="toc 5"/>
    <w:basedOn w:val="0"/>
    <w:autoRedefine/>
    <w:next w:val="0"/>
    <w:pPr>
      <w:ind w:left="1680"/>
    </w:pPr>
  </w:style>
  <w:style w:type="paragraph" w:styleId="23">
    <w:name w:val="toc 6"/>
    <w:basedOn w:val="0"/>
    <w:autoRedefine/>
    <w:next w:val="0"/>
    <w:pPr>
      <w:ind w:left="2100"/>
    </w:pPr>
  </w:style>
  <w:style w:type="paragraph" w:customStyle="1" w:styleId="24">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26">
    <w:name w:val="样式 5 小四"/>
    <w:next w:val="20"/>
    <w:rPr>
      <w:rFonts w:ascii="Times New Roman" w:eastAsia="宋体" w:cs="Times New Roman" w:hAnsi="Times New Roman"/>
      <w:sz w:val="24"/>
      <w:szCs w:val="24"/>
      <w:lang w:val="en-US" w:eastAsia="zh-CN" w:bidi="ar-SA"/>
    </w:rPr>
  </w:style>
  <w:style w:type="paragraph" w:customStyle="1" w:styleId="27">
    <w:name w:val="样式 6 小四"/>
    <w:next w:val="21"/>
    <w:rPr>
      <w:rFonts w:ascii="Times New Roman" w:eastAsia="宋体" w:cs="Times New Roman" w:hAnsi="Times New Roman"/>
      <w:sz w:val="24"/>
      <w:szCs w:val="24"/>
      <w:lang w:val="en-US" w:eastAsia="zh-CN" w:bidi="ar-SA"/>
    </w:rPr>
  </w:style>
  <w:style w:type="paragraph" w:customStyle="1" w:styleId="28">
    <w:name w:val="样式 2 三号"/>
    <w:next w:val="22"/>
    <w:pPr>
      <w:jc w:val="both"/>
    </w:pPr>
    <w:rPr>
      <w:rFonts w:ascii="Times New Roman" w:eastAsia="宋体" w:cs="Times New Roman" w:hAnsi="Times New Roman"/>
      <w:sz w:val="32"/>
      <w:szCs w:val="32"/>
      <w:lang w:val="en-US" w:eastAsia="zh-CN" w:bidi="ar-SA"/>
    </w:rPr>
  </w:style>
  <w:style w:type="paragraph" w:customStyle="1" w:styleId="29">
    <w:name w:val="样式 7 小四"/>
    <w:next w:val="23"/>
    <w:rPr>
      <w:rFonts w:ascii="宋体" w:eastAsia="宋体" w:cs="宋体"/>
      <w:sz w:val="24"/>
      <w:szCs w:val="24"/>
      <w:lang w:val="en-US" w:eastAsia="zh-CN" w:bidi="ar-SA"/>
    </w:rPr>
  </w:style>
  <w:style w:type="paragraph" w:customStyle="1" w:styleId="30">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31">
    <w:name w:val="样式 小三"/>
    <w:pPr>
      <w:widowControl w:val="0"/>
      <w:jc w:val="both"/>
    </w:pPr>
    <w:rPr>
      <w:rFonts w:ascii="Times New Roman" w:eastAsia="仿宋_GB2312" w:cs="Times New Roman" w:hAnsi="Times New Roman"/>
      <w:kern w:val="2"/>
      <w:sz w:val="30"/>
      <w:szCs w:val="30"/>
      <w:lang w:val="en-US" w:eastAsia="zh-CN" w:bidi="ar-SA"/>
    </w:rPr>
  </w:style>
  <w:style w:type="paragraph" w:customStyle="1" w:styleId="32">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小四"/>
    <w:pPr>
      <w:widowControl w:val="0"/>
    </w:pPr>
    <w:rPr>
      <w:rFonts w:ascii="宋体" w:eastAsia="宋体" w:cs="Times New Roman"/>
      <w:kern w:val="2"/>
      <w:sz w:val="24"/>
      <w:szCs w:val="21"/>
      <w:lang w:val="en-US" w:eastAsia="zh-CN" w:bidi="ar-SA"/>
    </w:rPr>
  </w:style>
  <w:style w:type="paragraph" w:styleId="37">
    <w:name w:val="Balloon Text"/>
    <w:basedOn w:val="0"/>
    <w:rPr>
      <w:sz w:val="18"/>
      <w:szCs w:val="18"/>
    </w:rPr>
  </w:style>
  <w:style w:type="paragraph" w:styleId="38">
    <w:name w:val="header"/>
    <w:basedOn w:val="0"/>
    <w:pPr>
      <w:pBdr>
        <w:bottom w:val="single" w:sz="6" w:space="1" w:color="auto"/>
      </w:pBdr>
      <w:tabs>
        <w:tab w:val="center" w:pos="4153"/>
        <w:tab w:val="right" w:pos="8306"/>
      </w:tabs>
      <w:snapToGrid w:val="0"/>
      <w:jc w:val="center"/>
    </w:pPr>
    <w:rPr>
      <w:sz w:val="18"/>
      <w:szCs w:val="18"/>
    </w:rPr>
  </w:style>
  <w:style w:type="paragraph" w:styleId="39">
    <w:name w:val="footer"/>
    <w:basedOn w:val="0"/>
    <w:pPr>
      <w:tabs>
        <w:tab w:val="center" w:pos="4153"/>
        <w:tab w:val="right" w:pos="8306"/>
      </w:tabs>
      <w:snapToGrid w:val="0"/>
      <w:jc w:val="left"/>
    </w:pPr>
    <w:rPr>
      <w:sz w:val="18"/>
      <w:szCs w:val="18"/>
    </w:rPr>
  </w:style>
  <w:style w:type="paragraph" w:customStyle="1" w:styleId="40">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42">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16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1 小四"/>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paragraph" w:customStyle="1" w:styleId="55">
    <w:name w:val="样式 1 小三"/>
    <w:pPr>
      <w:widowControl w:val="0"/>
      <w:jc w:val="both"/>
    </w:pPr>
    <w:rPr>
      <w:rFonts w:ascii="Times New Roman" w:eastAsia="仿宋_GB2312" w:cs="Times New Roman" w:hAnsi="Times New Roman"/>
      <w:kern w:val="2"/>
      <w:sz w:val="30"/>
      <w:szCs w:val="30"/>
      <w:lang w:val="en-US" w:eastAsia="zh-CN" w:bidi="ar-SA"/>
    </w:rPr>
  </w:style>
  <w:style w:type="paragraph" w:styleId="56">
    <w:name w:val="Body Text"/>
    <w:pPr>
      <w:widowControl w:val="0"/>
      <w:autoSpaceDE w:val="0"/>
      <w:autoSpaceDN w:val="0"/>
    </w:pPr>
    <w:rPr>
      <w:rFonts w:ascii="仿宋" w:eastAsia="仿宋" w:cs="仿宋"/>
      <w:sz w:val="32"/>
      <w:szCs w:val="32"/>
      <w:lang w:val="zh-CN" w:eastAsia="zh-CN" w:bidi="ar-SA"/>
    </w:rPr>
  </w:style>
  <w:style w:type="paragraph" w:customStyle="1" w:styleId="57">
    <w:name w:val="样式 3 三号"/>
    <w:next w:val="59"/>
    <w:pPr>
      <w:widowControl w:val="0"/>
      <w:jc w:val="both"/>
    </w:pPr>
    <w:rPr>
      <w:rFonts w:ascii="Times New Roman" w:eastAsia="方正仿宋_GBK" w:cs="Times New Roman" w:hAnsi="Times New Roman"/>
      <w:kern w:val="2"/>
      <w:sz w:val="32"/>
      <w:lang w:val="en-US" w:eastAsia="zh-CN" w:bidi="ar-SA"/>
    </w:rPr>
  </w:style>
  <w:style w:type="paragraph" w:customStyle="1" w:styleId="58">
    <w:name w:val="样式 71 三号"/>
    <w:next w:val="16"/>
    <w:pPr>
      <w:widowControl w:val="0"/>
      <w:autoSpaceDE w:val="0"/>
      <w:autoSpaceDN w:val="0"/>
    </w:pPr>
    <w:rPr>
      <w:rFonts w:ascii="仿宋" w:eastAsia="仿宋" w:cs="仿宋"/>
      <w:sz w:val="32"/>
      <w:szCs w:val="32"/>
      <w:lang w:val="zh-CN" w:eastAsia="zh-CN" w:bidi="ar-SA"/>
    </w:rPr>
  </w:style>
  <w:style w:type="paragraph" w:customStyle="1" w:styleId="59">
    <w:name w:val="样式 3 三号"/>
    <w:pPr>
      <w:widowControl w:val="0"/>
      <w:jc w:val="both"/>
    </w:pPr>
    <w:rPr>
      <w:rFonts w:ascii="Times New Roman" w:eastAsia="方正仿宋_GBK" w:cs="Times New Roman" w:hAnsi="Times New Roman"/>
      <w:kern w:val="2"/>
      <w:sz w:val="32"/>
      <w:lang w:val="en-US" w:eastAsia="zh-CN" w:bidi="ar-SA"/>
    </w:rPr>
  </w:style>
  <w:style w:type="character" w:styleId="60">
    <w:name w:val="page number"/>
    <w:basedOn w:val="10"/>
  </w:style>
  <w:style w:type="paragraph" w:styleId="61">
    <w:name w:val="annotation text"/>
    <w:basedOn w:val="0"/>
    <w:pPr>
      <w:jc w:val="left"/>
    </w:pPr>
  </w:style>
  <w:style w:type="paragraph" w:styleId="62">
    <w:name w:val="annotation subject"/>
    <w:basedOn w:val="61"/>
    <w:next w:val="61"/>
    <w:rPr>
      <w:b/>
    </w:rPr>
  </w:style>
  <w:style w:type="paragraph" w:customStyle="1" w:styleId="160">
    <w:name w:val="样式 22 10 磅"/>
    <w:pPr>
      <w:widowControl w:val="0"/>
      <w:jc w:val="left"/>
    </w:pPr>
    <w:rPr>
      <w:rFonts w:ascii="Times New Roman" w:eastAsia="宋体" w:cs="Times New Roman" w:hAnsi="Times New Roman"/>
      <w:kern w:val="2"/>
      <w:sz w:val="21"/>
      <w:szCs w:val="24"/>
      <w:lang w:val="en-US" w:eastAsia="zh-CN" w:bidi="ar-SA"/>
    </w:rPr>
  </w:style>
  <w:style w:type="paragraph" w:customStyle="1" w:styleId="161">
    <w:name w:val="样式 2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header" Target="header1.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image" Target="media/35.png"/><Relationship Id="rId8" Type="http://schemas.openxmlformats.org/officeDocument/2006/relationships/image" Target="media/38.png"/><Relationship Id="rId9" Type="http://schemas.openxmlformats.org/officeDocument/2006/relationships/image" Target="media/41.png"/><Relationship Id="rId10" Type="http://schemas.openxmlformats.org/officeDocument/2006/relationships/image" Target="media/44.png"/><Relationship Id="rId11" Type="http://schemas.openxmlformats.org/officeDocument/2006/relationships/image" Target="media/47.png"/><Relationship Id="rId12" Type="http://schemas.openxmlformats.org/officeDocument/2006/relationships/styles" Target="styles.xml"/><Relationship Id="rId13" Type="http://schemas.openxmlformats.org/officeDocument/2006/relationships/fontTable" Target="fontTable.xml"/></Relationships>
</file>

<file path=docProps/app.xml><?xml version="1.0" encoding="utf-8"?>
<Properties xmlns="http://schemas.openxmlformats.org/officeDocument/2006/extended-properties">
  <Template>Normal.eit</Template>
  <TotalTime>142</TotalTime>
  <Application>Yozo_Office</Application>
  <Pages>21</Pages>
  <Words>5536</Words>
  <Characters>7673</Characters>
  <Lines>1350</Lines>
  <Paragraphs>613</Paragraphs>
  <CharactersWithSpaces>7838</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海关总署2019年度</dc:title>
  <dc:creator>lu_wei</dc:creator>
  <cp:lastModifiedBy>AutoBVT</cp:lastModifiedBy>
  <cp:revision>30</cp:revision>
  <cp:lastPrinted>2021-08-09T01:56:00Z</cp:lastPrinted>
  <dcterms:created xsi:type="dcterms:W3CDTF">2023-08-07T03:24:00Z</dcterms:created>
  <dcterms:modified xsi:type="dcterms:W3CDTF">2023-08-25T07:09:24Z</dcterms:modified>
</cp:coreProperties>
</file>