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utoSpaceDN w:val="0"/>
        <w:rPr>
          <w:b/>
          <w:bCs/>
          <w:sz w:val="84"/>
          <w:szCs w:val="84"/>
        </w:rPr>
      </w:pPr>
    </w:p>
    <w:p>
      <w:pPr>
        <w:autoSpaceDN w:val="0"/>
        <w:rPr>
          <w:b/>
          <w:bCs/>
          <w:sz w:val="84"/>
          <w:szCs w:val="84"/>
        </w:rPr>
      </w:pPr>
    </w:p>
    <w:p>
      <w:pPr>
        <w:autoSpaceDN w:val="0"/>
        <w:rPr>
          <w:b/>
          <w:bCs/>
          <w:sz w:val="84"/>
          <w:szCs w:val="84"/>
        </w:rPr>
      </w:pPr>
    </w:p>
    <w:p>
      <w:pPr>
        <w:autoSpaceDN w:val="0"/>
        <w:jc w:val="center"/>
        <w:rPr>
          <w:b/>
          <w:bCs/>
          <w:sz w:val="84"/>
          <w:szCs w:val="84"/>
        </w:rPr>
      </w:pPr>
      <w:r>
        <w:rPr>
          <w:b/>
          <w:bCs/>
          <w:sz w:val="84"/>
          <w:szCs w:val="84"/>
        </w:rPr>
        <w:t>202</w:t>
      </w:r>
      <w:r>
        <w:rPr>
          <w:rFonts w:hint="eastAsia"/>
          <w:b/>
          <w:bCs/>
          <w:sz w:val="84"/>
          <w:szCs w:val="84"/>
        </w:rPr>
        <w:t>2</w:t>
      </w:r>
      <w:r>
        <w:rPr>
          <w:b/>
          <w:bCs/>
          <w:sz w:val="84"/>
          <w:szCs w:val="84"/>
        </w:rPr>
        <w:t>年</w:t>
      </w:r>
      <w:r>
        <w:rPr>
          <w:rFonts w:hint="eastAsia"/>
          <w:b/>
          <w:bCs/>
          <w:sz w:val="84"/>
          <w:szCs w:val="84"/>
        </w:rPr>
        <w:t>度</w:t>
      </w:r>
    </w:p>
    <w:p>
      <w:pPr>
        <w:autoSpaceDN w:val="0"/>
        <w:jc w:val="center"/>
        <w:rPr>
          <w:b/>
          <w:bCs/>
          <w:sz w:val="84"/>
          <w:szCs w:val="84"/>
        </w:rPr>
      </w:pPr>
      <w:r>
        <w:rPr>
          <w:rFonts w:hint="eastAsia"/>
          <w:b/>
          <w:bCs/>
          <w:sz w:val="84"/>
          <w:szCs w:val="84"/>
        </w:rPr>
        <w:t>重庆江北机场</w:t>
      </w:r>
      <w:r>
        <w:rPr>
          <w:b/>
          <w:bCs/>
          <w:sz w:val="84"/>
          <w:szCs w:val="84"/>
        </w:rPr>
        <w:t>海关</w:t>
      </w:r>
    </w:p>
    <w:p>
      <w:pPr>
        <w:autoSpaceDN w:val="0"/>
        <w:jc w:val="center"/>
        <w:rPr>
          <w:b/>
          <w:bCs/>
          <w:sz w:val="84"/>
          <w:szCs w:val="84"/>
        </w:rPr>
      </w:pPr>
      <w:r>
        <w:rPr>
          <w:rFonts w:hint="eastAsia"/>
          <w:b/>
          <w:bCs/>
          <w:sz w:val="84"/>
          <w:szCs w:val="84"/>
        </w:rPr>
        <w:t>部门决算</w:t>
      </w:r>
      <w:r>
        <w:rPr>
          <w:b/>
          <w:bCs/>
          <w:sz w:val="84"/>
          <w:szCs w:val="84"/>
        </w:rPr>
        <w:br w:type="page"/>
      </w:r>
      <w:r>
        <w:rPr>
          <w:rFonts w:hint="eastAsia"/>
          <w:b/>
          <w:bCs/>
          <w:sz w:val="84"/>
          <w:szCs w:val="84"/>
        </w:rPr>
        <w:t>目</w:t>
      </w:r>
      <w:r>
        <w:rPr>
          <w:b/>
          <w:bCs/>
          <w:sz w:val="84"/>
          <w:szCs w:val="84"/>
        </w:rPr>
        <w:t xml:space="preserve">  </w:t>
      </w:r>
      <w:r>
        <w:rPr>
          <w:rFonts w:hint="eastAsia"/>
          <w:b/>
          <w:bCs/>
          <w:sz w:val="84"/>
          <w:szCs w:val="84"/>
        </w:rPr>
        <w:t>录</w:t>
      </w:r>
    </w:p>
    <w:p>
      <w:pPr>
        <w:autoSpaceDN w:val="0"/>
        <w:spacing w:line="560" w:lineRule="exact"/>
        <w:rPr>
          <w:rFonts w:eastAsia="方正黑体_GBK"/>
          <w:sz w:val="44"/>
          <w:szCs w:val="44"/>
        </w:rPr>
      </w:pPr>
      <w:r>
        <w:rPr>
          <w:rFonts w:eastAsia="方正黑体_GBK" w:hint="eastAsia"/>
          <w:sz w:val="44"/>
          <w:szCs w:val="44"/>
        </w:rPr>
        <w:t xml:space="preserve"> 第一部分  </w:t>
      </w:r>
      <w:r>
        <w:rPr>
          <w:rFonts w:eastAsia="方正黑体_GBK" w:cs="仿宋" w:hint="eastAsia"/>
          <w:sz w:val="44"/>
          <w:szCs w:val="44"/>
        </w:rPr>
        <w:t>重庆江北机场海关</w:t>
      </w:r>
      <w:r>
        <w:rPr>
          <w:rFonts w:eastAsia="方正黑体_GBK" w:hint="eastAsia"/>
          <w:sz w:val="44"/>
          <w:szCs w:val="44"/>
        </w:rPr>
        <w:t>概况</w:t>
      </w:r>
    </w:p>
    <w:p>
      <w:pPr>
        <w:autoSpaceDN w:val="0"/>
        <w:spacing w:line="560" w:lineRule="exact"/>
        <w:ind w:firstLineChars="100" w:firstLine="360"/>
        <w:rPr>
          <w:rFonts w:eastAsia="方正仿宋_GBK"/>
          <w:sz w:val="36"/>
          <w:szCs w:val="36"/>
        </w:rPr>
      </w:pPr>
      <w:r>
        <w:rPr>
          <w:rFonts w:eastAsia="方正仿宋_GBK" w:hint="eastAsia"/>
          <w:sz w:val="36"/>
          <w:szCs w:val="36"/>
        </w:rPr>
        <w:t>一、部门职责</w:t>
      </w:r>
    </w:p>
    <w:p>
      <w:pPr>
        <w:autoSpaceDN w:val="0"/>
        <w:spacing w:line="560" w:lineRule="exact"/>
        <w:ind w:firstLineChars="100" w:firstLine="360"/>
        <w:rPr>
          <w:rFonts w:eastAsia="方正仿宋_GBK"/>
          <w:sz w:val="36"/>
          <w:szCs w:val="36"/>
        </w:rPr>
      </w:pPr>
      <w:r>
        <w:rPr>
          <w:rFonts w:eastAsia="方正仿宋_GBK" w:hint="eastAsia"/>
          <w:sz w:val="36"/>
          <w:szCs w:val="36"/>
        </w:rPr>
        <w:t>二、机构设置</w:t>
      </w:r>
    </w:p>
    <w:p>
      <w:pPr>
        <w:autoSpaceDN w:val="0"/>
        <w:spacing w:line="560" w:lineRule="exact"/>
        <w:rPr>
          <w:rFonts w:eastAsia="方正黑体_GBK"/>
          <w:sz w:val="44"/>
          <w:szCs w:val="44"/>
        </w:rPr>
      </w:pPr>
      <w:r>
        <w:rPr>
          <w:rFonts w:eastAsia="方正黑体_GBK" w:hint="eastAsia"/>
          <w:sz w:val="44"/>
          <w:szCs w:val="44"/>
        </w:rPr>
        <w:t xml:space="preserve"> 第二部分  </w:t>
      </w:r>
      <w:r>
        <w:rPr>
          <w:rFonts w:eastAsia="方正黑体_GBK"/>
          <w:sz w:val="44"/>
          <w:szCs w:val="44"/>
        </w:rPr>
        <w:t>202</w:t>
      </w:r>
      <w:r>
        <w:rPr>
          <w:rFonts w:eastAsia="方正黑体_GBK" w:hint="eastAsia"/>
          <w:sz w:val="44"/>
          <w:szCs w:val="44"/>
        </w:rPr>
        <w:t>2</w:t>
      </w:r>
      <w:r>
        <w:rPr>
          <w:rFonts w:eastAsia="方正黑体_GBK"/>
          <w:sz w:val="44"/>
          <w:szCs w:val="44"/>
        </w:rPr>
        <w:t>年</w:t>
      </w:r>
      <w:r>
        <w:rPr>
          <w:rFonts w:eastAsia="方正黑体_GBK" w:hint="eastAsia"/>
          <w:sz w:val="44"/>
          <w:szCs w:val="44"/>
        </w:rPr>
        <w:t>度部门决算表</w:t>
      </w:r>
    </w:p>
    <w:p>
      <w:pPr>
        <w:autoSpaceDN w:val="0"/>
        <w:spacing w:line="560" w:lineRule="exact"/>
        <w:ind w:firstLineChars="100" w:firstLine="360"/>
        <w:rPr>
          <w:rFonts w:eastAsia="方正仿宋_GBK"/>
          <w:sz w:val="36"/>
          <w:szCs w:val="36"/>
        </w:rPr>
      </w:pPr>
      <w:r>
        <w:rPr>
          <w:rFonts w:eastAsia="方正仿宋_GBK" w:hint="eastAsia"/>
          <w:sz w:val="36"/>
          <w:szCs w:val="36"/>
        </w:rPr>
        <w:t>一、收入支出决算总表</w:t>
      </w:r>
    </w:p>
    <w:p>
      <w:pPr>
        <w:autoSpaceDN w:val="0"/>
        <w:spacing w:line="560" w:lineRule="exact"/>
        <w:ind w:firstLineChars="100" w:firstLine="360"/>
        <w:rPr>
          <w:rFonts w:eastAsia="方正仿宋_GBK"/>
          <w:sz w:val="36"/>
          <w:szCs w:val="36"/>
        </w:rPr>
      </w:pPr>
      <w:r>
        <w:rPr>
          <w:rFonts w:eastAsia="方正仿宋_GBK" w:hint="eastAsia"/>
          <w:sz w:val="36"/>
          <w:szCs w:val="36"/>
        </w:rPr>
        <w:t>二、收入决算表</w:t>
      </w:r>
    </w:p>
    <w:p>
      <w:pPr>
        <w:autoSpaceDN w:val="0"/>
        <w:spacing w:line="560" w:lineRule="exact"/>
        <w:ind w:firstLineChars="100" w:firstLine="360"/>
        <w:rPr>
          <w:rFonts w:eastAsia="方正仿宋_GBK"/>
          <w:sz w:val="36"/>
          <w:szCs w:val="36"/>
        </w:rPr>
      </w:pPr>
      <w:r>
        <w:rPr>
          <w:rFonts w:eastAsia="方正仿宋_GBK" w:hint="eastAsia"/>
          <w:sz w:val="36"/>
          <w:szCs w:val="36"/>
        </w:rPr>
        <w:t>三、支出决算表</w:t>
      </w:r>
    </w:p>
    <w:p>
      <w:pPr>
        <w:autoSpaceDN w:val="0"/>
        <w:spacing w:line="560" w:lineRule="exact"/>
        <w:ind w:firstLineChars="100" w:firstLine="360"/>
        <w:rPr>
          <w:rFonts w:eastAsia="方正仿宋_GBK"/>
          <w:sz w:val="36"/>
          <w:szCs w:val="36"/>
        </w:rPr>
      </w:pPr>
      <w:r>
        <w:rPr>
          <w:rFonts w:eastAsia="方正仿宋_GBK" w:hint="eastAsia"/>
          <w:sz w:val="36"/>
          <w:szCs w:val="36"/>
        </w:rPr>
        <w:t>四、财政拨款收入支出决算总表</w:t>
      </w:r>
    </w:p>
    <w:p>
      <w:pPr>
        <w:autoSpaceDN w:val="0"/>
        <w:spacing w:line="560" w:lineRule="exact"/>
        <w:ind w:firstLineChars="100" w:firstLine="360"/>
        <w:rPr>
          <w:rFonts w:eastAsia="方正仿宋_GBK"/>
          <w:sz w:val="36"/>
          <w:szCs w:val="36"/>
        </w:rPr>
      </w:pPr>
      <w:r>
        <w:rPr>
          <w:rFonts w:eastAsia="方正仿宋_GBK" w:hint="eastAsia"/>
          <w:sz w:val="36"/>
          <w:szCs w:val="36"/>
        </w:rPr>
        <w:t>五、一般公共预算财政拨款支出决算表</w:t>
      </w:r>
    </w:p>
    <w:p>
      <w:pPr>
        <w:autoSpaceDN w:val="0"/>
        <w:spacing w:line="560" w:lineRule="exact"/>
        <w:ind w:firstLineChars="100" w:firstLine="360"/>
        <w:rPr>
          <w:rFonts w:eastAsia="方正仿宋_GBK"/>
          <w:sz w:val="36"/>
          <w:szCs w:val="36"/>
        </w:rPr>
      </w:pPr>
      <w:r>
        <w:rPr>
          <w:rFonts w:eastAsia="方正仿宋_GBK" w:hint="eastAsia"/>
          <w:sz w:val="36"/>
          <w:szCs w:val="36"/>
        </w:rPr>
        <w:t>六、一般公共预算财政拨款基本支出决算明细表</w:t>
      </w:r>
    </w:p>
    <w:p>
      <w:pPr>
        <w:autoSpaceDN w:val="0"/>
        <w:spacing w:line="560" w:lineRule="exact"/>
        <w:ind w:firstLineChars="100" w:firstLine="360"/>
        <w:rPr>
          <w:rFonts w:eastAsia="方正仿宋_GBK"/>
          <w:sz w:val="36"/>
          <w:szCs w:val="36"/>
        </w:rPr>
      </w:pPr>
      <w:r>
        <w:rPr>
          <w:rFonts w:eastAsia="方正仿宋_GBK" w:hint="eastAsia"/>
          <w:sz w:val="36"/>
          <w:szCs w:val="36"/>
        </w:rPr>
        <w:t>七、政府性基金预算财政拨款收入支出决算表</w:t>
      </w:r>
    </w:p>
    <w:p>
      <w:pPr>
        <w:autoSpaceDN w:val="0"/>
        <w:spacing w:line="560" w:lineRule="exact"/>
        <w:ind w:firstLineChars="100" w:firstLine="360"/>
        <w:rPr>
          <w:rFonts w:eastAsia="方正仿宋_GBK"/>
          <w:sz w:val="36"/>
          <w:szCs w:val="36"/>
        </w:rPr>
      </w:pPr>
      <w:r>
        <w:rPr>
          <w:rFonts w:eastAsia="方正仿宋_GBK" w:hint="eastAsia"/>
          <w:sz w:val="36"/>
          <w:szCs w:val="36"/>
        </w:rPr>
        <w:t>八、国有资本经营预算财政拨款支出决算表</w:t>
      </w:r>
    </w:p>
    <w:p>
      <w:pPr>
        <w:autoSpaceDN w:val="0"/>
        <w:spacing w:line="560" w:lineRule="exact"/>
        <w:ind w:firstLineChars="100" w:firstLine="360"/>
        <w:rPr>
          <w:rFonts w:eastAsia="方正仿宋_GBK"/>
          <w:sz w:val="36"/>
          <w:szCs w:val="36"/>
        </w:rPr>
      </w:pPr>
      <w:r>
        <w:rPr>
          <w:rFonts w:eastAsia="方正仿宋_GBK" w:hint="eastAsia"/>
          <w:sz w:val="36"/>
          <w:szCs w:val="36"/>
        </w:rPr>
        <w:t>九、财政拨款“三公”经费支出决算表</w:t>
      </w:r>
    </w:p>
    <w:p>
      <w:pPr>
        <w:autoSpaceDN w:val="0"/>
        <w:spacing w:line="560" w:lineRule="exact"/>
        <w:rPr>
          <w:rFonts w:eastAsia="方正黑体_GBK"/>
          <w:sz w:val="44"/>
          <w:szCs w:val="44"/>
        </w:rPr>
      </w:pPr>
      <w:r>
        <w:rPr>
          <w:rFonts w:eastAsia="方正黑体_GBK" w:hint="eastAsia"/>
          <w:sz w:val="44"/>
          <w:szCs w:val="44"/>
        </w:rPr>
        <w:t xml:space="preserve"> 第三部分  </w:t>
      </w:r>
      <w:r>
        <w:rPr>
          <w:rFonts w:eastAsia="方正黑体_GBK"/>
          <w:sz w:val="44"/>
          <w:szCs w:val="44"/>
        </w:rPr>
        <w:t>202</w:t>
      </w:r>
      <w:r>
        <w:rPr>
          <w:rFonts w:eastAsia="方正黑体_GBK" w:hint="eastAsia"/>
          <w:sz w:val="44"/>
          <w:szCs w:val="44"/>
        </w:rPr>
        <w:t>2</w:t>
      </w:r>
      <w:r>
        <w:rPr>
          <w:rFonts w:eastAsia="方正黑体_GBK"/>
          <w:sz w:val="44"/>
          <w:szCs w:val="44"/>
        </w:rPr>
        <w:t>年</w:t>
      </w:r>
      <w:r>
        <w:rPr>
          <w:rFonts w:eastAsia="方正黑体_GBK" w:hint="eastAsia"/>
          <w:sz w:val="44"/>
          <w:szCs w:val="44"/>
        </w:rPr>
        <w:t>度部门决算情况说明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一、收入支出决算总体情况说明</w:t>
      </w:r>
    </w:p>
    <w:p>
      <w:pPr>
        <w:autoSpaceDN w:val="0"/>
        <w:spacing w:line="560" w:lineRule="exact"/>
        <w:ind w:firstLineChars="100" w:firstLine="360"/>
        <w:rPr>
          <w:rFonts w:eastAsia="方正仿宋_GBK"/>
          <w:sz w:val="36"/>
          <w:szCs w:val="36"/>
        </w:rPr>
      </w:pPr>
      <w:r>
        <w:rPr>
          <w:rFonts w:eastAsia="方正仿宋_GBK" w:hint="eastAsia"/>
          <w:sz w:val="36"/>
          <w:szCs w:val="36"/>
        </w:rPr>
        <w:t>二、收入决算情况说明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三、支出决算情况说明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四、财政拨款收入支出决算总体情况说明</w:t>
      </w:r>
    </w:p>
    <w:p>
      <w:pPr>
        <w:autoSpaceDN w:val="0"/>
        <w:spacing w:line="560" w:lineRule="exact"/>
        <w:ind w:firstLineChars="100" w:firstLine="360"/>
        <w:rPr>
          <w:rFonts w:eastAsia="方正仿宋_GBK"/>
          <w:sz w:val="36"/>
          <w:szCs w:val="36"/>
        </w:rPr>
      </w:pPr>
      <w:r>
        <w:rPr>
          <w:rFonts w:eastAsia="方正仿宋_GBK" w:hint="eastAsia"/>
          <w:sz w:val="36"/>
          <w:szCs w:val="36"/>
        </w:rPr>
        <w:t>五、一般公共预算财政拨款支出决算情况说明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六、一般公共预算财政拨款基本支出决算情况说明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七、一般公共预算财政拨款“三公”经费支出决算情况说明</w:t>
      </w:r>
    </w:p>
    <w:p>
      <w:pPr>
        <w:autoSpaceDN w:val="0"/>
        <w:spacing w:line="560" w:lineRule="exact"/>
        <w:ind w:firstLineChars="100" w:firstLine="360"/>
        <w:rPr>
          <w:rFonts w:eastAsia="方正仿宋_GBK"/>
          <w:sz w:val="36"/>
          <w:szCs w:val="36"/>
        </w:rPr>
      </w:pPr>
      <w:r>
        <w:rPr>
          <w:rFonts w:eastAsia="方正仿宋_GBK" w:hint="eastAsia"/>
          <w:sz w:val="36"/>
          <w:szCs w:val="36"/>
        </w:rPr>
        <w:t>八、机关运行经费支出说明</w:t>
      </w:r>
    </w:p>
    <w:p>
      <w:pPr>
        <w:autoSpaceDN w:val="0"/>
        <w:spacing w:line="560" w:lineRule="exact"/>
        <w:ind w:firstLineChars="100" w:firstLine="360"/>
        <w:rPr>
          <w:rFonts w:eastAsia="方正仿宋_GBK"/>
          <w:sz w:val="36"/>
          <w:szCs w:val="36"/>
        </w:rPr>
      </w:pPr>
      <w:r>
        <w:rPr>
          <w:rFonts w:eastAsia="方正仿宋_GBK" w:hint="eastAsia"/>
          <w:sz w:val="36"/>
          <w:szCs w:val="36"/>
        </w:rPr>
        <w:t>九、政府采购支出说明</w:t>
      </w:r>
    </w:p>
    <w:p>
      <w:pPr>
        <w:autoSpaceDN w:val="0"/>
        <w:spacing w:line="560" w:lineRule="exact"/>
        <w:rPr>
          <w:rFonts w:eastAsia="方正仿宋_GBK"/>
          <w:sz w:val="36"/>
          <w:szCs w:val="36"/>
        </w:rPr>
      </w:pPr>
      <w:r>
        <w:rPr>
          <w:rFonts w:eastAsia="方正仿宋_GBK" w:hint="eastAsia"/>
          <w:sz w:val="36"/>
          <w:szCs w:val="36"/>
        </w:rPr>
        <w:t xml:space="preserve">  十、国有资产占用情况说明</w:t>
      </w:r>
    </w:p>
    <w:p>
      <w:pPr>
        <w:autoSpaceDN w:val="0"/>
        <w:spacing w:line="560" w:lineRule="exact"/>
        <w:ind w:firstLineChars="100" w:firstLine="360"/>
        <w:rPr>
          <w:rFonts w:eastAsia="方正仿宋_GBK"/>
          <w:sz w:val="36"/>
          <w:szCs w:val="36"/>
        </w:rPr>
      </w:pPr>
      <w:r>
        <w:rPr>
          <w:rFonts w:eastAsia="方正仿宋_GBK" w:hint="eastAsia"/>
          <w:sz w:val="36"/>
          <w:szCs w:val="36"/>
        </w:rPr>
        <w:t>十一、预算绩效情况说明</w:t>
      </w:r>
    </w:p>
    <w:p>
      <w:pPr>
        <w:autoSpaceDN w:val="0"/>
        <w:spacing w:line="560" w:lineRule="exact"/>
        <w:ind w:leftChars="100" w:left="1934" w:hangingChars="392" w:hanging="1724"/>
        <w:rPr>
          <w:rFonts w:ascii="方正黑体_GBK" w:eastAsia="方正黑体_GBK"/>
          <w:sz w:val="44"/>
          <w:szCs w:val="44"/>
        </w:rPr>
      </w:pPr>
      <w:r>
        <w:rPr>
          <w:rFonts w:ascii="方正黑体_GBK" w:eastAsia="方正黑体_GBK" w:hint="eastAsia"/>
          <w:sz w:val="44"/>
          <w:szCs w:val="44"/>
        </w:rPr>
        <w:t>第四部分  名词解释</w:t>
      </w:r>
    </w:p>
    <w:p>
      <w:pPr>
        <w:autoSpaceDN w:val="0"/>
        <w:spacing w:line="560" w:lineRule="exact"/>
        <w:ind w:leftChars="100" w:left="1934" w:hangingChars="392" w:hanging="1724"/>
      </w:pPr>
      <w:r>
        <w:rPr>
          <w:rFonts w:ascii="方正黑体_GBK" w:eastAsia="方正黑体_GBK"/>
          <w:sz w:val="44"/>
          <w:szCs w:val="44"/>
        </w:rPr>
        <w:br w:type="page"/>
      </w:r>
    </w:p>
    <w:p>
      <w:pPr>
        <w:autoSpaceDN w:val="0"/>
        <w:ind w:firstLineChars="200" w:firstLine="1680"/>
        <w:rPr>
          <w:b/>
          <w:bCs/>
          <w:sz w:val="84"/>
          <w:szCs w:val="84"/>
        </w:rPr>
      </w:pPr>
      <w:r>
        <w:rPr>
          <w:rFonts w:hint="eastAsia"/>
          <w:b/>
          <w:bCs/>
          <w:sz w:val="84"/>
          <w:szCs w:val="84"/>
        </w:rPr>
        <w:t xml:space="preserve">  </w:t>
      </w:r>
    </w:p>
    <w:p>
      <w:pPr>
        <w:autoSpaceDN w:val="0"/>
        <w:ind w:firstLineChars="200" w:firstLine="1680"/>
        <w:rPr>
          <w:b/>
          <w:bCs/>
          <w:sz w:val="84"/>
          <w:szCs w:val="84"/>
        </w:rPr>
      </w:pPr>
    </w:p>
    <w:p>
      <w:pPr>
        <w:autoSpaceDN w:val="0"/>
        <w:ind w:firstLineChars="200" w:firstLine="1680"/>
        <w:rPr>
          <w:b/>
          <w:bCs/>
          <w:sz w:val="84"/>
          <w:szCs w:val="84"/>
        </w:rPr>
      </w:pPr>
    </w:p>
    <w:p>
      <w:pPr>
        <w:autoSpaceDN w:val="0"/>
        <w:jc w:val="center"/>
        <w:rPr>
          <w:b/>
          <w:bCs/>
          <w:sz w:val="72"/>
          <w:szCs w:val="72"/>
        </w:rPr>
      </w:pPr>
      <w:r>
        <w:rPr>
          <w:rFonts w:hint="eastAsia"/>
          <w:b/>
          <w:bCs/>
          <w:sz w:val="72"/>
          <w:szCs w:val="72"/>
        </w:rPr>
        <w:t>第一部分</w:t>
      </w:r>
    </w:p>
    <w:p>
      <w:pPr>
        <w:autoSpaceDN w:val="0"/>
        <w:rPr>
          <w:rFonts w:ascii="方正楷体_GBK" w:eastAsia="方正楷体_GBK"/>
          <w:b/>
          <w:bCs/>
          <w:sz w:val="32"/>
          <w:szCs w:val="32"/>
        </w:rPr>
      </w:pPr>
      <w:r>
        <w:rPr>
          <w:rFonts w:hint="eastAsia"/>
          <w:b/>
          <w:bCs/>
          <w:sz w:val="72"/>
          <w:szCs w:val="72"/>
        </w:rPr>
        <w:t xml:space="preserve"> 重庆江北机场海关概况</w:t>
      </w:r>
      <w:r>
        <w:br w:type="page"/>
      </w:r>
      <w:r>
        <w:rPr>
          <w:rFonts w:hint="eastAsia"/>
        </w:rPr>
        <w:t xml:space="preserve">       </w:t>
      </w:r>
      <w:r>
        <w:rPr>
          <w:rFonts w:ascii="方正黑体_GBK" w:eastAsia="方正黑体_GBK" w:hint="eastAsia"/>
          <w:sz w:val="32"/>
          <w:szCs w:val="32"/>
        </w:rPr>
        <w:t>一、</w:t>
      </w:r>
      <w:r>
        <w:rPr>
          <w:rFonts w:ascii="方正黑体_GBK" w:eastAsia="方正黑体_GBK" w:hint="eastAsia"/>
          <w:bCs/>
          <w:sz w:val="32"/>
          <w:szCs w:val="32"/>
        </w:rPr>
        <w:t>部门职责</w:t>
      </w:r>
    </w:p>
    <w:p>
      <w:pPr>
        <w:autoSpaceDN w:val="0"/>
        <w:spacing w:line="560" w:lineRule="exact"/>
        <w:ind w:firstLineChars="200" w:firstLine="640"/>
        <w:rPr>
          <w:rFonts w:ascii="方正仿宋_GBK" w:eastAsia="方正仿宋_GBK"/>
          <w:sz w:val="32"/>
          <w:szCs w:val="32"/>
        </w:rPr>
      </w:pPr>
      <w:r>
        <w:rPr>
          <w:rFonts w:eastAsia="方正仿宋_GBK" w:hint="eastAsia"/>
          <w:sz w:val="32"/>
          <w:szCs w:val="32"/>
        </w:rPr>
        <w:t>重庆江北机场海关是依据《中华人民共和国海关法》等有关法律法规履行下列职责：</w:t>
      </w:r>
    </w:p>
    <w:p>
      <w:pPr>
        <w:autoSpaceDN w:val="0"/>
        <w:spacing w:line="560" w:lineRule="exact"/>
        <w:ind w:firstLineChars="200" w:firstLine="640"/>
        <w:rPr>
          <w:rFonts w:eastAsia="方正仿宋_GBK"/>
          <w:sz w:val="32"/>
          <w:szCs w:val="32"/>
        </w:rPr>
      </w:pPr>
      <w:r>
        <w:rPr>
          <w:rFonts w:ascii="方正仿宋_GBK" w:eastAsia="方正仿宋_GBK" w:hint="eastAsia"/>
          <w:sz w:val="32"/>
          <w:szCs w:val="32"/>
        </w:rPr>
        <w:t>重庆江北机场海关负责重庆江北机场的航空口岸监管业务。监控研判本关各类执法风险、管理风险和廉政风险并组织防范和化解，负责党的基层组织建设、干部队伍建设、财务管理等日常管理工作；承担本口岸进出境运输工具、货物、物品、动植物及其产品、食品、化妆品和人员的单证审核、税收征管等海关现场综合业务工作；承担本口岸进出境运输工具、货物、物品、动植物及其产品、食品、化妆品和人员的海关查验、检验、检疫工作；承担重庆空港国际快件及邮政商业快件的实际监管；承担重庆关区使领馆公自用物品及外交邮袋相关工作；承担本口岸的物流监管；承担本口岸海关监管作业场所（场地）、专业类场所（场地）及保税监管场所的实际监管；承担本口岸机场、航空器免税店及其免税商品监管；承担本口岸行政处罚简易程序案件、简单案件； 承办本口岸自贸试验区的相关工作；承办重庆海关交办的其他工作，反馈执法作业结果。</w:t>
      </w:r>
    </w:p>
    <w:p>
      <w:pPr>
        <w:autoSpaceDN w:val="0"/>
        <w:spacing w:line="560" w:lineRule="exact"/>
        <w:ind w:firstLineChars="200" w:firstLine="640"/>
        <w:rPr>
          <w:rFonts w:ascii="方正黑体_GBK" w:eastAsia="方正黑体_GBK"/>
          <w:b/>
          <w:bCs/>
          <w:sz w:val="32"/>
          <w:szCs w:val="32"/>
        </w:rPr>
      </w:pPr>
      <w:r>
        <w:rPr>
          <w:rFonts w:ascii="方正黑体_GBK" w:eastAsia="方正黑体_GBK" w:hint="eastAsia"/>
          <w:b/>
          <w:bCs/>
          <w:sz w:val="32"/>
          <w:szCs w:val="32"/>
        </w:rPr>
        <w:t>二、</w:t>
      </w:r>
      <w:r>
        <w:rPr>
          <w:rFonts w:ascii="方正黑体_GBK" w:eastAsia="方正黑体_GBK" w:hint="eastAsia"/>
          <w:bCs/>
          <w:sz w:val="32"/>
          <w:szCs w:val="32"/>
        </w:rPr>
        <w:t>机构设置</w:t>
      </w:r>
    </w:p>
    <w:p>
      <w:pPr>
        <w:snapToGri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重庆江北机场海关内设</w:t>
      </w:r>
      <w:r>
        <w:rPr>
          <w:rFonts w:eastAsia="方正仿宋_GBK"/>
          <w:sz w:val="32"/>
          <w:szCs w:val="32"/>
        </w:rPr>
        <w:t>14</w:t>
      </w:r>
      <w:r>
        <w:rPr>
          <w:rFonts w:ascii="方正仿宋_GBK" w:eastAsia="方正仿宋_GBK" w:hint="eastAsia"/>
          <w:sz w:val="32"/>
          <w:szCs w:val="32"/>
        </w:rPr>
        <w:t>个科室，包括办公室（党委办公室）、人事政工科（党委组织宣传部）、财务科、综合业务科、货物查验科、物流管理科、业务运行监控科、卫生监督科、旅检一科、旅检二科、旅检三科、旅检四科、值机科、快件科。</w:t>
      </w:r>
    </w:p>
    <w:p>
      <w:pPr>
        <w:autoSpaceDN w:val="0"/>
        <w:spacing w:line="560" w:lineRule="exact"/>
        <w:ind w:firstLineChars="200" w:firstLine="640"/>
        <w:rPr>
          <w:rFonts w:eastAsia="方正仿宋_GBK"/>
          <w:sz w:val="32"/>
          <w:szCs w:val="32"/>
        </w:rPr>
      </w:pPr>
      <w:r>
        <w:rPr>
          <w:rFonts w:eastAsia="方正仿宋_GBK" w:hint="eastAsia"/>
          <w:sz w:val="32"/>
          <w:szCs w:val="32"/>
        </w:rPr>
        <w:t>纳入重庆江北机场海关</w:t>
      </w:r>
      <w:r>
        <w:rPr>
          <w:rFonts w:eastAsia="方正仿宋_GBK"/>
          <w:sz w:val="32"/>
          <w:szCs w:val="32"/>
        </w:rPr>
        <w:t>202</w:t>
      </w:r>
      <w:r>
        <w:rPr>
          <w:rFonts w:eastAsia="方正仿宋_GBK" w:hint="eastAsia"/>
          <w:sz w:val="32"/>
          <w:szCs w:val="32"/>
        </w:rPr>
        <w:t>2</w:t>
      </w:r>
      <w:r>
        <w:rPr>
          <w:rFonts w:eastAsia="方正仿宋_GBK"/>
          <w:sz w:val="32"/>
          <w:szCs w:val="32"/>
        </w:rPr>
        <w:t>年</w:t>
      </w:r>
      <w:r>
        <w:rPr>
          <w:rFonts w:eastAsia="方正仿宋_GBK" w:hint="eastAsia"/>
          <w:sz w:val="32"/>
          <w:szCs w:val="32"/>
        </w:rPr>
        <w:t>部门决算编制范围的单位详细情况见下表：</w:t>
      </w:r>
    </w:p>
    <w:p/>
    <w:tbl>
      <w:tblPr>
        <w:jc w:val="left"/>
        <w:tblW w:w="8403"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1893"/>
        <w:gridCol w:w="6510"/>
      </w:tblGrid>
      <w:tr>
        <w:trPr>
          <w:trHeight w:val="391"/>
        </w:trPr>
        <w:tc>
          <w:tcPr>
            <w:tcW w:w="1893" w:type="dxa"/>
            <w:tcBorders>
              <w:top w:val="single" w:sz="4" w:space="0" w:color="auto"/>
              <w:left w:val="single" w:sz="4" w:space="0" w:color="auto"/>
              <w:bottom w:val="single" w:sz="4" w:space="0" w:color="auto"/>
              <w:right w:val="single" w:sz="4" w:space="0" w:color="auto"/>
            </w:tcBorders>
            <w:noWrap/>
            <w:vAlign w:val="center"/>
          </w:tcPr>
          <w:p>
            <w:pPr>
              <w:jc w:val="center"/>
              <w:rPr>
                <w:rFonts w:ascii="方正仿宋_GBK" w:eastAsia="方正仿宋_GBK"/>
                <w:color w:val="000000"/>
                <w:sz w:val="32"/>
                <w:szCs w:val="32"/>
              </w:rPr>
            </w:pPr>
            <w:r>
              <w:rPr>
                <w:rFonts w:ascii="方正仿宋_GBK" w:eastAsia="方正仿宋_GBK" w:hint="eastAsia"/>
                <w:color w:val="000000"/>
                <w:sz w:val="32"/>
                <w:szCs w:val="32"/>
              </w:rPr>
              <w:t>序号</w:t>
            </w:r>
          </w:p>
        </w:tc>
        <w:tc>
          <w:tcPr>
            <w:tcW w:w="6510" w:type="dxa"/>
            <w:tcBorders>
              <w:top w:val="single" w:sz="4" w:space="0" w:color="auto"/>
              <w:left w:val="single" w:sz="4" w:space="0" w:color="auto"/>
              <w:bottom w:val="single" w:sz="4" w:space="0" w:color="auto"/>
              <w:right w:val="single" w:sz="4" w:space="0" w:color="auto"/>
            </w:tcBorders>
            <w:noWrap/>
            <w:vAlign w:val="center"/>
          </w:tcPr>
          <w:p>
            <w:pPr>
              <w:jc w:val="center"/>
              <w:rPr>
                <w:rFonts w:ascii="方正仿宋_GBK" w:eastAsia="方正仿宋_GBK"/>
                <w:color w:val="000000"/>
                <w:sz w:val="32"/>
                <w:szCs w:val="32"/>
              </w:rPr>
            </w:pPr>
            <w:r>
              <w:rPr>
                <w:rFonts w:ascii="方正仿宋_GBK" w:eastAsia="方正仿宋_GBK" w:hint="eastAsia"/>
                <w:color w:val="000000"/>
                <w:sz w:val="32"/>
                <w:szCs w:val="32"/>
              </w:rPr>
              <w:t>单位</w:t>
            </w:r>
          </w:p>
        </w:tc>
      </w:tr>
      <w:tr>
        <w:trPr>
          <w:trHeight w:val="391"/>
        </w:trPr>
        <w:tc>
          <w:tcPr>
            <w:tcW w:w="1893" w:type="dxa"/>
            <w:tcBorders>
              <w:top w:val="single" w:sz="4" w:space="0" w:color="auto"/>
              <w:left w:val="single" w:sz="4" w:space="0" w:color="auto"/>
              <w:bottom w:val="single" w:sz="4" w:space="0" w:color="auto"/>
              <w:right w:val="single" w:sz="4" w:space="0" w:color="auto"/>
            </w:tcBorders>
            <w:noWrap/>
            <w:vAlign w:val="center"/>
          </w:tcPr>
          <w:p>
            <w:pPr>
              <w:jc w:val="center"/>
              <w:rPr>
                <w:rFonts w:ascii="方正仿宋_GBK" w:eastAsia="方正仿宋_GBK"/>
                <w:color w:val="000000"/>
                <w:sz w:val="32"/>
                <w:szCs w:val="32"/>
              </w:rPr>
            </w:pPr>
            <w:r>
              <w:rPr>
                <w:rFonts w:eastAsia="方正仿宋_GBK" w:hint="eastAsia"/>
                <w:kern w:val="0"/>
                <w:sz w:val="32"/>
                <w:szCs w:val="32"/>
              </w:rPr>
              <w:t>1</w:t>
            </w:r>
          </w:p>
        </w:tc>
        <w:tc>
          <w:tcPr>
            <w:tcW w:w="6510" w:type="dxa"/>
            <w:tcBorders>
              <w:top w:val="single" w:sz="4" w:space="0" w:color="auto"/>
              <w:left w:val="single" w:sz="4" w:space="0" w:color="auto"/>
              <w:bottom w:val="single" w:sz="4" w:space="0" w:color="auto"/>
              <w:right w:val="single" w:sz="4" w:space="0" w:color="auto"/>
            </w:tcBorders>
            <w:noWrap/>
            <w:vAlign w:val="center"/>
          </w:tcPr>
          <w:p>
            <w:pPr>
              <w:jc w:val="center"/>
              <w:rPr>
                <w:rFonts w:ascii="方正仿宋_GBK" w:eastAsia="方正仿宋_GBK"/>
                <w:color w:val="000000"/>
                <w:sz w:val="32"/>
                <w:szCs w:val="32"/>
              </w:rPr>
            </w:pPr>
            <w:r>
              <w:rPr>
                <w:rFonts w:ascii="方正仿宋_GBK" w:eastAsia="方正仿宋_GBK" w:hint="eastAsia"/>
                <w:color w:val="000000"/>
                <w:sz w:val="32"/>
                <w:szCs w:val="32"/>
              </w:rPr>
              <w:t>重庆江北机场海关</w:t>
            </w:r>
          </w:p>
        </w:tc>
      </w:tr>
    </w:tbl>
    <w:p>
      <w:pPr>
        <w:widowControl/>
        <w:autoSpaceDN w:val="0"/>
        <w:jc w:val="left"/>
      </w:pPr>
    </w:p>
    <w:p>
      <w:pPr>
        <w:widowControl/>
        <w:autoSpaceDN w:val="0"/>
        <w:jc w:val="center"/>
      </w:pPr>
      <w:r>
        <w:br w:type="page"/>
      </w:r>
    </w:p>
    <w:p>
      <w:pPr>
        <w:widowControl/>
        <w:autoSpaceDN w:val="0"/>
        <w:jc w:val="center"/>
      </w:pPr>
    </w:p>
    <w:p>
      <w:pPr>
        <w:widowControl/>
        <w:autoSpaceDN w:val="0"/>
        <w:jc w:val="center"/>
      </w:pPr>
    </w:p>
    <w:p>
      <w:pPr>
        <w:widowControl/>
        <w:autoSpaceDN w:val="0"/>
        <w:jc w:val="center"/>
      </w:pPr>
    </w:p>
    <w:p>
      <w:pPr>
        <w:widowControl/>
        <w:autoSpaceDN w:val="0"/>
        <w:jc w:val="center"/>
      </w:pPr>
    </w:p>
    <w:p>
      <w:pPr>
        <w:widowControl/>
        <w:autoSpaceDN w:val="0"/>
        <w:jc w:val="center"/>
      </w:pPr>
    </w:p>
    <w:p>
      <w:pPr>
        <w:widowControl/>
        <w:autoSpaceDN w:val="0"/>
        <w:jc w:val="center"/>
      </w:pPr>
    </w:p>
    <w:p>
      <w:pPr>
        <w:widowControl/>
        <w:autoSpaceDN w:val="0"/>
        <w:jc w:val="center"/>
      </w:pPr>
    </w:p>
    <w:p>
      <w:pPr>
        <w:widowControl/>
        <w:autoSpaceDN w:val="0"/>
        <w:jc w:val="center"/>
      </w:pPr>
    </w:p>
    <w:p>
      <w:pPr>
        <w:widowControl/>
        <w:autoSpaceDN w:val="0"/>
        <w:jc w:val="center"/>
      </w:pPr>
    </w:p>
    <w:p>
      <w:pPr>
        <w:widowControl/>
        <w:autoSpaceDN w:val="0"/>
        <w:jc w:val="center"/>
      </w:pPr>
    </w:p>
    <w:p>
      <w:pPr>
        <w:widowControl/>
        <w:autoSpaceDN w:val="0"/>
        <w:jc w:val="center"/>
      </w:pPr>
    </w:p>
    <w:p>
      <w:pPr>
        <w:widowControl/>
        <w:autoSpaceDN w:val="0"/>
        <w:jc w:val="center"/>
      </w:pPr>
    </w:p>
    <w:p>
      <w:pPr>
        <w:widowControl/>
        <w:autoSpaceDN w:val="0"/>
        <w:jc w:val="center"/>
      </w:pPr>
    </w:p>
    <w:p>
      <w:pPr>
        <w:widowControl/>
        <w:autoSpaceDN w:val="0"/>
        <w:jc w:val="center"/>
        <w:rPr>
          <w:rFonts w:ascii="宋体" w:cs="Arial"/>
          <w:b/>
          <w:color w:val="000000"/>
          <w:kern w:val="0"/>
          <w:sz w:val="72"/>
          <w:szCs w:val="72"/>
        </w:rPr>
      </w:pPr>
      <w:r>
        <w:rPr>
          <w:rFonts w:ascii="宋体" w:cs="Arial" w:hint="eastAsia"/>
          <w:b/>
          <w:color w:val="000000"/>
          <w:kern w:val="0"/>
          <w:sz w:val="72"/>
          <w:szCs w:val="72"/>
        </w:rPr>
        <w:t>第二部分</w:t>
      </w:r>
    </w:p>
    <w:p>
      <w:pPr>
        <w:widowControl/>
        <w:autoSpaceDN w:val="0"/>
        <w:jc w:val="center"/>
        <w:rPr>
          <w:rFonts w:ascii="宋体" w:cs="Arial"/>
          <w:b/>
          <w:color w:val="000000"/>
          <w:kern w:val="0"/>
          <w:sz w:val="72"/>
          <w:szCs w:val="72"/>
        </w:rPr>
      </w:pPr>
      <w:r>
        <w:rPr>
          <w:rFonts w:ascii="宋体" w:cs="Arial" w:hint="eastAsia"/>
          <w:b/>
          <w:color w:val="000000"/>
          <w:kern w:val="0"/>
          <w:sz w:val="72"/>
          <w:szCs w:val="72"/>
        </w:rPr>
        <w:t>2022年度部门决算表</w:t>
      </w:r>
    </w:p>
    <w:p>
      <w:pPr>
        <w:widowControl/>
        <w:autoSpaceDN w:val="0"/>
        <w:jc w:val="left"/>
        <w:sectPr>
          <w:headerReference w:type="default" r:id="rId2"/>
          <w:headerReference w:type="even" r:id="rId3"/>
          <w:footerReference w:type="default" r:id="rId4"/>
          <w:pgSz w:w="11907" w:h="16840"/>
          <w:pgMar w:top="1440" w:right="1797" w:bottom="1440" w:left="1797" w:header="851" w:footer="992" w:gutter="0"/>
          <w:docGrid w:type="lines" w:linePitch="312" w:charSpace="0"/>
        </w:sectPr>
      </w:pPr>
    </w:p>
    <w:tbl>
      <w:tblPr>
        <w:jc w:val="left"/>
        <w:tblInd w:w="93" w:type="dxa"/>
        <w:tblW w:w="1412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14341"/>
      </w:tblGrid>
      <w:tr>
        <w:trPr>
          <w:trHeight w:val="390"/>
        </w:trPr>
        <w:tc>
          <w:tcPr>
            <w:tcW w:w="14120" w:type="dxa"/>
            <w:tcBorders>
              <w:top w:val="nil"/>
              <w:left w:val="nil"/>
              <w:bottom w:val="nil"/>
              <w:right w:val="nil"/>
            </w:tcBorders>
            <w:shd w:val="clear" w:color="auto" w:fill="auto"/>
            <w:noWrap/>
            <w:vAlign w:val="bottom"/>
          </w:tcPr>
          <w:tbl>
            <w:tblPr>
              <w:jc w:val="left"/>
              <w:tblW w:w="1412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934"/>
              <w:gridCol w:w="653"/>
              <w:gridCol w:w="1265"/>
              <w:gridCol w:w="4628"/>
              <w:gridCol w:w="653"/>
              <w:gridCol w:w="1987"/>
            </w:tblGrid>
            <w:tr>
              <w:trPr>
                <w:trHeight w:val="390"/>
              </w:trPr>
              <w:tc>
                <w:tcPr>
                  <w:tcW w:w="14120" w:type="dxa"/>
                  <w:gridSpan w:val="6"/>
                  <w:tcBorders>
                    <w:top w:val="nil"/>
                    <w:left w:val="nil"/>
                    <w:bottom w:val="nil"/>
                    <w:right w:val="nil"/>
                  </w:tcBorders>
                  <w:shd w:val="clear" w:color="auto" w:fill="auto"/>
                  <w:noWrap/>
                  <w:vAlign w:val="bottom"/>
                </w:tcPr>
                <w:p>
                  <w:pPr>
                    <w:widowControl/>
                    <w:jc w:val="center"/>
                    <w:rPr>
                      <w:rFonts w:ascii="宋体" w:cs="Arial"/>
                      <w:color w:val="000000"/>
                      <w:kern w:val="0"/>
                      <w:sz w:val="30"/>
                      <w:szCs w:val="30"/>
                    </w:rPr>
                  </w:pPr>
                  <w:r>
                    <w:rPr>
                      <w:rFonts w:ascii="宋体" w:cs="Arial" w:hint="eastAsia"/>
                      <w:color w:val="000000"/>
                      <w:kern w:val="0"/>
                      <w:sz w:val="30"/>
                      <w:szCs w:val="30"/>
                    </w:rPr>
                    <w:t>收入支出决算总表</w:t>
                  </w:r>
                </w:p>
              </w:tc>
            </w:tr>
            <w:tr>
              <w:trPr>
                <w:trHeight w:val="255"/>
              </w:trPr>
              <w:tc>
                <w:tcPr>
                  <w:tcW w:w="493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5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5"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628"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5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987"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公开01表</w:t>
                  </w:r>
                </w:p>
              </w:tc>
            </w:tr>
            <w:tr>
              <w:trPr>
                <w:trHeight w:val="255"/>
              </w:trPr>
              <w:tc>
                <w:tcPr>
                  <w:tcW w:w="4934" w:type="dxa"/>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部门：重庆江北机场海关</w:t>
                  </w:r>
                </w:p>
              </w:tc>
              <w:tc>
                <w:tcPr>
                  <w:tcW w:w="65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5"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628"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5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987"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685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收入</w:t>
                  </w:r>
                </w:p>
              </w:tc>
              <w:tc>
                <w:tcPr>
                  <w:tcW w:w="7268" w:type="dxa"/>
                  <w:gridSpan w:val="3"/>
                  <w:tcBorders>
                    <w:top w:val="single" w:sz="4" w:space="0" w:color="000000"/>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支出</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金额</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金额</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一、一般公共预算财政拨款收入</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一、一般公共服务支出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32</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2,584.41</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二、政府性基金预算财政拨款收入</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二、外交支出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33</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三、国有资本经营预算财政拨款收入</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三、国防支出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34</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四、上级补助收入</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四、公共安全支出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35</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五、事业收入</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五、教育支出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36</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六、经营收入</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六、科学技术支出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37</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七、附属单位上缴收入</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七、文化旅游体育与传媒支出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38</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八、其他收入</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8</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1,082.86</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八、社会保障和就业支出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39</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9</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九、卫生健康支出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40</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10</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十、节能环保支出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41</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11</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十一、城乡社区支出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42</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12</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十二、农林水支出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43</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13</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十三、交通运输支出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44</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14</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十四、资源勘探工业信息等支出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45</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15</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十五、商业服务业等支出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46</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16</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十六、金融支出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47</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17</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十七、援助其他地区支出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48</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18</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十八、自然资源海洋气象等支出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49</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19</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十九、住房保障支出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50</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20</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二十、粮油物资储备支出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51</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21</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二十一、国有资本经营预算支出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52</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22</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二十二、灾害防治及应急管理支出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53</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23</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二十三、其他支出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54</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b/>
                      <w:bCs/>
                      <w:color w:val="000000"/>
                      <w:kern w:val="0"/>
                      <w:sz w:val="20"/>
                      <w:szCs w:val="20"/>
                    </w:rPr>
                  </w:pPr>
                  <w:r>
                    <w:rPr>
                      <w:rFonts w:ascii="宋体" w:cs="Arial" w:hint="eastAsia"/>
                      <w:b/>
                      <w:bCs/>
                      <w:color w:val="000000"/>
                      <w:kern w:val="0"/>
                      <w:sz w:val="20"/>
                      <w:szCs w:val="20"/>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0"/>
                      <w:szCs w:val="20"/>
                    </w:rPr>
                  </w:pPr>
                  <w:r>
                    <w:rPr>
                      <w:rFonts w:ascii="宋体" w:cs="Arial" w:hint="eastAsia"/>
                      <w:color w:val="000000"/>
                      <w:kern w:val="0"/>
                      <w:sz w:val="20"/>
                      <w:szCs w:val="20"/>
                    </w:rPr>
                    <w:t>24</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0"/>
                      <w:szCs w:val="20"/>
                    </w:rPr>
                  </w:pPr>
                  <w:r>
                    <w:rPr>
                      <w:rFonts w:ascii="宋体" w:cs="Arial" w:hint="eastAsia"/>
                      <w:color w:val="000000"/>
                      <w:kern w:val="0"/>
                      <w:sz w:val="20"/>
                      <w:szCs w:val="20"/>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二十四、债务还本支出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55</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0"/>
                      <w:szCs w:val="20"/>
                    </w:rPr>
                  </w:pPr>
                  <w:r>
                    <w:rPr>
                      <w:rFonts w:ascii="宋体" w:cs="Arial" w:hint="eastAsia"/>
                      <w:color w:val="000000"/>
                      <w:kern w:val="0"/>
                      <w:sz w:val="20"/>
                      <w:szCs w:val="20"/>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0"/>
                      <w:szCs w:val="20"/>
                    </w:rPr>
                  </w:pPr>
                  <w:r>
                    <w:rPr>
                      <w:rFonts w:ascii="宋体" w:cs="Arial" w:hint="eastAsia"/>
                      <w:color w:val="000000"/>
                      <w:kern w:val="0"/>
                      <w:sz w:val="20"/>
                      <w:szCs w:val="20"/>
                    </w:rPr>
                    <w:t>25</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0"/>
                      <w:szCs w:val="20"/>
                    </w:rPr>
                  </w:pPr>
                  <w:r>
                    <w:rPr>
                      <w:rFonts w:ascii="宋体" w:cs="Arial" w:hint="eastAsia"/>
                      <w:color w:val="000000"/>
                      <w:kern w:val="0"/>
                      <w:sz w:val="20"/>
                      <w:szCs w:val="20"/>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二十五、债务付息支出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56</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0"/>
                      <w:szCs w:val="20"/>
                    </w:rPr>
                  </w:pPr>
                  <w:r>
                    <w:rPr>
                      <w:rFonts w:ascii="宋体" w:cs="Arial" w:hint="eastAsia"/>
                      <w:color w:val="000000"/>
                      <w:kern w:val="0"/>
                      <w:sz w:val="20"/>
                      <w:szCs w:val="20"/>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0"/>
                      <w:szCs w:val="20"/>
                    </w:rPr>
                  </w:pPr>
                  <w:r>
                    <w:rPr>
                      <w:rFonts w:ascii="宋体" w:cs="Arial" w:hint="eastAsia"/>
                      <w:color w:val="000000"/>
                      <w:kern w:val="0"/>
                      <w:sz w:val="20"/>
                      <w:szCs w:val="20"/>
                    </w:rPr>
                    <w:t>26</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0"/>
                      <w:szCs w:val="20"/>
                    </w:rPr>
                  </w:pPr>
                  <w:r>
                    <w:rPr>
                      <w:rFonts w:ascii="宋体" w:cs="Arial" w:hint="eastAsia"/>
                      <w:color w:val="000000"/>
                      <w:kern w:val="0"/>
                      <w:sz w:val="20"/>
                      <w:szCs w:val="20"/>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二十六、抗疫特别国债安排的支出</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57</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本年收入合计</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27</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2,709.16</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本年支出合计</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58</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2,584.41</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使用非财政拨款结余</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28</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结余分配</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59</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年初结转和结余</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29</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879.83</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年末结转和结余</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60</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1,004.58</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30</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61</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4934" w:type="dxa"/>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31</w:t>
                  </w:r>
                </w:p>
              </w:tc>
              <w:tc>
                <w:tcPr>
                  <w:tcW w:w="126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3,588.99</w:t>
                  </w:r>
                </w:p>
              </w:tc>
              <w:tc>
                <w:tcPr>
                  <w:tcW w:w="4628"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65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62</w:t>
                  </w:r>
                </w:p>
              </w:tc>
              <w:tc>
                <w:tcPr>
                  <w:tcW w:w="1987"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3,588.99</w:t>
                  </w:r>
                </w:p>
              </w:tc>
            </w:tr>
            <w:tr>
              <w:trPr>
                <w:trHeight w:val="308"/>
              </w:trPr>
              <w:tc>
                <w:tcPr>
                  <w:tcW w:w="14120" w:type="dxa"/>
                  <w:gridSpan w:val="6"/>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注：1.本表反映部门本年度的总收支和年末结转结余情况。</w:t>
                  </w:r>
                </w:p>
              </w:tc>
            </w:tr>
            <w:tr>
              <w:trPr>
                <w:trHeight w:val="308"/>
              </w:trPr>
              <w:tc>
                <w:tcPr>
                  <w:tcW w:w="14120" w:type="dxa"/>
                  <w:gridSpan w:val="6"/>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2.本套报表金额单位转换时可能存在尾数误差。</w:t>
                  </w:r>
                </w:p>
              </w:tc>
            </w:tr>
          </w:tbl>
          <w:p>
            <w:pPr>
              <w:widowControl/>
              <w:jc w:val="center"/>
              <w:rPr>
                <w:rFonts w:ascii="宋体" w:cs="Arial"/>
                <w:color w:val="000000"/>
                <w:kern w:val="0"/>
                <w:sz w:val="30"/>
                <w:szCs w:val="30"/>
              </w:rPr>
            </w:pPr>
          </w:p>
        </w:tc>
      </w:tr>
    </w:tbl>
    <w:p>
      <w:pPr>
        <w:widowControl/>
        <w:jc w:val="left"/>
        <w:rPr>
          <w:rFonts w:ascii="Arial" w:cs="Arial" w:hAnsi="Arial"/>
          <w:color w:val="000000"/>
          <w:kern w:val="0"/>
          <w:sz w:val="20"/>
          <w:szCs w:val="20"/>
        </w:rPr>
        <w:sectPr>
          <w:pgSz w:w="16840" w:h="11907" w:orient="landscape"/>
          <w:pgMar w:top="1134" w:right="1440" w:bottom="1134" w:left="1440" w:header="851" w:footer="992" w:gutter="0"/>
          <w:docGrid w:type="linesAndChars" w:linePitch="312" w:charSpace="0"/>
        </w:sectPr>
      </w:pPr>
    </w:p>
    <w:tbl>
      <w:tblPr>
        <w:jc w:val="left"/>
        <w:tblW w:w="500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00"/>
        <w:gridCol w:w="315"/>
        <w:gridCol w:w="271"/>
        <w:gridCol w:w="2214"/>
        <w:gridCol w:w="1678"/>
        <w:gridCol w:w="1678"/>
        <w:gridCol w:w="1405"/>
        <w:gridCol w:w="1405"/>
        <w:gridCol w:w="1405"/>
        <w:gridCol w:w="1405"/>
        <w:gridCol w:w="1999"/>
      </w:tblGrid>
      <w:tr>
        <w:trPr>
          <w:trHeight w:val="390"/>
        </w:trPr>
        <w:tc>
          <w:tcPr>
            <w:tcW w:w="5000" w:type="pct"/>
            <w:gridSpan w:val="11"/>
            <w:tcBorders>
              <w:top w:val="nil"/>
              <w:left w:val="nil"/>
              <w:bottom w:val="nil"/>
              <w:right w:val="nil"/>
            </w:tcBorders>
            <w:shd w:val="clear" w:color="auto" w:fill="auto"/>
            <w:noWrap/>
            <w:vAlign w:val="bottom"/>
          </w:tcPr>
          <w:p>
            <w:pPr>
              <w:widowControl/>
              <w:jc w:val="center"/>
              <w:rPr>
                <w:rFonts w:ascii="宋体" w:cs="Arial"/>
                <w:color w:val="000000"/>
                <w:kern w:val="0"/>
                <w:sz w:val="30"/>
                <w:szCs w:val="30"/>
              </w:rPr>
            </w:pPr>
            <w:r>
              <w:rPr>
                <w:rFonts w:ascii="宋体" w:cs="Arial" w:hint="eastAsia"/>
                <w:color w:val="000000"/>
                <w:kern w:val="0"/>
                <w:sz w:val="30"/>
                <w:szCs w:val="30"/>
              </w:rPr>
              <w:t>收入决算表</w:t>
            </w:r>
          </w:p>
        </w:tc>
      </w:tr>
      <w:tr>
        <w:trPr>
          <w:trHeight w:val="255"/>
        </w:trPr>
        <w:tc>
          <w:tcPr>
            <w:tcW w:w="109"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86"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9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02"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02"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0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0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0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0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16" w:type="pct"/>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公开02表</w:t>
            </w:r>
          </w:p>
        </w:tc>
      </w:tr>
      <w:tr>
        <w:trPr>
          <w:trHeight w:val="255"/>
        </w:trPr>
        <w:tc>
          <w:tcPr>
            <w:tcW w:w="1062" w:type="pct"/>
            <w:gridSpan w:val="4"/>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部门：重庆江北机场海关</w:t>
            </w:r>
          </w:p>
        </w:tc>
        <w:tc>
          <w:tcPr>
            <w:tcW w:w="602"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02"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0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0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0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0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16" w:type="pct"/>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1062"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602"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本年收入合计</w:t>
            </w:r>
          </w:p>
        </w:tc>
        <w:tc>
          <w:tcPr>
            <w:tcW w:w="602"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财政拨款收入</w:t>
            </w:r>
          </w:p>
        </w:tc>
        <w:tc>
          <w:tcPr>
            <w:tcW w:w="504"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上级补助收入</w:t>
            </w:r>
          </w:p>
        </w:tc>
        <w:tc>
          <w:tcPr>
            <w:tcW w:w="504"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事业收入</w:t>
            </w:r>
          </w:p>
        </w:tc>
        <w:tc>
          <w:tcPr>
            <w:tcW w:w="504"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经营收入</w:t>
            </w:r>
          </w:p>
        </w:tc>
        <w:tc>
          <w:tcPr>
            <w:tcW w:w="504"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附属单位上缴收入</w:t>
            </w:r>
          </w:p>
        </w:tc>
        <w:tc>
          <w:tcPr>
            <w:tcW w:w="716"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其他收入</w:t>
            </w:r>
          </w:p>
        </w:tc>
      </w:tr>
      <w:tr>
        <w:trPr>
          <w:trHeight w:val="312"/>
        </w:trPr>
        <w:tc>
          <w:tcPr>
            <w:tcW w:w="269" w:type="pct"/>
            <w:gridSpan w:val="3"/>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科目代码</w:t>
            </w:r>
          </w:p>
        </w:tc>
        <w:tc>
          <w:tcPr>
            <w:tcW w:w="794" w:type="pct"/>
            <w:vMerge w:val="restar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602" w:type="pct"/>
            <w:vMerge/>
            <w:tcBorders>
              <w:top w:val="single" w:sz="4" w:space="0" w:color="000000"/>
              <w:left w:val="nil"/>
              <w:bottom w:val="single" w:sz="4" w:space="0" w:color="000000"/>
              <w:right w:val="single" w:sz="4" w:space="0" w:color="000000"/>
            </w:tcBorders>
            <w:vAlign w:val="center"/>
          </w:tcPr>
          <w:p/>
        </w:tc>
        <w:tc>
          <w:tcPr>
            <w:tcW w:w="602"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716" w:type="pct"/>
            <w:vMerge/>
            <w:tcBorders>
              <w:top w:val="single" w:sz="4" w:space="0" w:color="000000"/>
              <w:left w:val="nil"/>
              <w:bottom w:val="single" w:sz="4" w:space="0" w:color="000000"/>
              <w:right w:val="single" w:sz="4" w:space="0" w:color="000000"/>
            </w:tcBorders>
            <w:vAlign w:val="center"/>
          </w:tcPr>
          <w:p/>
        </w:tc>
      </w:tr>
      <w:tr>
        <w:trPr>
          <w:trHeight w:val="312"/>
        </w:trPr>
        <w:tc>
          <w:tcPr>
            <w:tcW w:w="269" w:type="pct"/>
            <w:gridSpan w:val="3"/>
            <w:vMerge/>
            <w:tcBorders>
              <w:top w:val="nil"/>
              <w:left w:val="single" w:sz="4" w:space="0" w:color="000000"/>
              <w:bottom w:val="single" w:sz="4" w:space="0" w:color="000000"/>
              <w:right w:val="single" w:sz="4" w:space="0" w:color="000000"/>
            </w:tcBorders>
            <w:vAlign w:val="center"/>
          </w:tcPr>
          <w:p/>
        </w:tc>
        <w:tc>
          <w:tcPr>
            <w:tcW w:w="794" w:type="pct"/>
            <w:vMerge/>
            <w:tcBorders>
              <w:top w:val="nil"/>
              <w:left w:val="nil"/>
              <w:bottom w:val="single" w:sz="4" w:space="0" w:color="000000"/>
              <w:right w:val="single" w:sz="4" w:space="0" w:color="000000"/>
            </w:tcBorders>
            <w:vAlign w:val="center"/>
          </w:tcPr>
          <w:p/>
        </w:tc>
        <w:tc>
          <w:tcPr>
            <w:tcW w:w="602" w:type="pct"/>
            <w:vMerge/>
            <w:tcBorders>
              <w:top w:val="single" w:sz="4" w:space="0" w:color="000000"/>
              <w:left w:val="nil"/>
              <w:bottom w:val="single" w:sz="4" w:space="0" w:color="000000"/>
              <w:right w:val="single" w:sz="4" w:space="0" w:color="000000"/>
            </w:tcBorders>
            <w:vAlign w:val="center"/>
          </w:tcPr>
          <w:p/>
        </w:tc>
        <w:tc>
          <w:tcPr>
            <w:tcW w:w="602"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716" w:type="pct"/>
            <w:vMerge/>
            <w:tcBorders>
              <w:top w:val="single" w:sz="4" w:space="0" w:color="000000"/>
              <w:left w:val="nil"/>
              <w:bottom w:val="single" w:sz="4" w:space="0" w:color="000000"/>
              <w:right w:val="single" w:sz="4" w:space="0" w:color="000000"/>
            </w:tcBorders>
            <w:vAlign w:val="center"/>
          </w:tcPr>
          <w:p/>
        </w:tc>
      </w:tr>
      <w:tr>
        <w:trPr>
          <w:trHeight w:val="312"/>
        </w:trPr>
        <w:tc>
          <w:tcPr>
            <w:tcW w:w="269" w:type="pct"/>
            <w:gridSpan w:val="3"/>
            <w:vMerge/>
            <w:tcBorders>
              <w:top w:val="nil"/>
              <w:left w:val="single" w:sz="4" w:space="0" w:color="000000"/>
              <w:bottom w:val="single" w:sz="4" w:space="0" w:color="000000"/>
              <w:right w:val="single" w:sz="4" w:space="0" w:color="000000"/>
            </w:tcBorders>
            <w:vAlign w:val="center"/>
          </w:tcPr>
          <w:p/>
        </w:tc>
        <w:tc>
          <w:tcPr>
            <w:tcW w:w="794" w:type="pct"/>
            <w:vMerge/>
            <w:tcBorders>
              <w:top w:val="nil"/>
              <w:left w:val="nil"/>
              <w:bottom w:val="single" w:sz="4" w:space="0" w:color="000000"/>
              <w:right w:val="single" w:sz="4" w:space="0" w:color="000000"/>
            </w:tcBorders>
            <w:vAlign w:val="center"/>
          </w:tcPr>
          <w:p/>
        </w:tc>
        <w:tc>
          <w:tcPr>
            <w:tcW w:w="602" w:type="pct"/>
            <w:vMerge/>
            <w:tcBorders>
              <w:top w:val="single" w:sz="4" w:space="0" w:color="000000"/>
              <w:left w:val="nil"/>
              <w:bottom w:val="single" w:sz="4" w:space="0" w:color="000000"/>
              <w:right w:val="single" w:sz="4" w:space="0" w:color="000000"/>
            </w:tcBorders>
            <w:vAlign w:val="center"/>
          </w:tcPr>
          <w:p/>
        </w:tc>
        <w:tc>
          <w:tcPr>
            <w:tcW w:w="602"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504" w:type="pct"/>
            <w:vMerge/>
            <w:tcBorders>
              <w:top w:val="single" w:sz="4" w:space="0" w:color="000000"/>
              <w:left w:val="nil"/>
              <w:bottom w:val="single" w:sz="4" w:space="0" w:color="000000"/>
              <w:right w:val="single" w:sz="4" w:space="0" w:color="000000"/>
            </w:tcBorders>
            <w:vAlign w:val="center"/>
          </w:tcPr>
          <w:p/>
        </w:tc>
        <w:tc>
          <w:tcPr>
            <w:tcW w:w="716" w:type="pct"/>
            <w:vMerge/>
            <w:tcBorders>
              <w:top w:val="single" w:sz="4" w:space="0" w:color="000000"/>
              <w:left w:val="nil"/>
              <w:bottom w:val="single" w:sz="4" w:space="0" w:color="000000"/>
              <w:right w:val="single" w:sz="4" w:space="0" w:color="000000"/>
            </w:tcBorders>
            <w:vAlign w:val="center"/>
          </w:tcPr>
          <w:p/>
        </w:tc>
      </w:tr>
      <w:tr>
        <w:trPr>
          <w:trHeight w:val="308"/>
        </w:trPr>
        <w:tc>
          <w:tcPr>
            <w:tcW w:w="1062" w:type="pct"/>
            <w:gridSpan w:val="4"/>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602"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504"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504"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504"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504"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716"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r>
      <w:tr>
        <w:trPr>
          <w:trHeight w:val="308"/>
        </w:trPr>
        <w:tc>
          <w:tcPr>
            <w:tcW w:w="1062" w:type="pct"/>
            <w:gridSpan w:val="4"/>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2,709.16</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1,626.30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0.00</w:t>
            </w:r>
          </w:p>
        </w:tc>
        <w:tc>
          <w:tcPr>
            <w:tcW w:w="71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1,082.86</w:t>
            </w:r>
          </w:p>
        </w:tc>
      </w:tr>
      <w:tr>
        <w:trPr>
          <w:trHeight w:val="308"/>
        </w:trPr>
        <w:tc>
          <w:tcPr>
            <w:tcW w:w="269"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w:t>
            </w:r>
          </w:p>
        </w:tc>
        <w:tc>
          <w:tcPr>
            <w:tcW w:w="79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一般公共服务支出</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2,709.16</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1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1,082.86</w:t>
            </w:r>
          </w:p>
        </w:tc>
      </w:tr>
      <w:tr>
        <w:trPr>
          <w:trHeight w:val="308"/>
        </w:trPr>
        <w:tc>
          <w:tcPr>
            <w:tcW w:w="269"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w:t>
            </w:r>
          </w:p>
        </w:tc>
        <w:tc>
          <w:tcPr>
            <w:tcW w:w="79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海关事务</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2,709.16</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1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1,082.86</w:t>
            </w:r>
          </w:p>
        </w:tc>
      </w:tr>
      <w:tr>
        <w:trPr>
          <w:trHeight w:val="308"/>
        </w:trPr>
        <w:tc>
          <w:tcPr>
            <w:tcW w:w="269"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2010901</w:t>
            </w:r>
          </w:p>
        </w:tc>
        <w:tc>
          <w:tcPr>
            <w:tcW w:w="79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行政运行</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2,633.68</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1,550.82</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1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1,082.86</w:t>
            </w:r>
          </w:p>
        </w:tc>
      </w:tr>
      <w:tr>
        <w:trPr>
          <w:trHeight w:val="308"/>
        </w:trPr>
        <w:tc>
          <w:tcPr>
            <w:tcW w:w="269"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2010909</w:t>
            </w:r>
          </w:p>
        </w:tc>
        <w:tc>
          <w:tcPr>
            <w:tcW w:w="79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海关关务</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56.00</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56.00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1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69"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2010911</w:t>
            </w:r>
          </w:p>
        </w:tc>
        <w:tc>
          <w:tcPr>
            <w:tcW w:w="79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海关监管</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11.48</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11.48</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1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69"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2010912</w:t>
            </w:r>
          </w:p>
        </w:tc>
        <w:tc>
          <w:tcPr>
            <w:tcW w:w="79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检验检疫</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8.00</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8.00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1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69"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79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71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269"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79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0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0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71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5000" w:type="pct"/>
            <w:gridSpan w:val="11"/>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注：1.本表反映部门本年度取得的各项收入情况。</w:t>
            </w:r>
          </w:p>
          <w:p>
            <w:pPr>
              <w:widowControl/>
              <w:jc w:val="left"/>
              <w:rPr>
                <w:rFonts w:ascii="宋体" w:cs="Arial"/>
                <w:color w:val="000000"/>
                <w:kern w:val="0"/>
                <w:sz w:val="22"/>
                <w:szCs w:val="22"/>
              </w:rPr>
            </w:pPr>
            <w:r>
              <w:rPr>
                <w:rFonts w:ascii="宋体" w:cs="Arial" w:hint="eastAsia"/>
                <w:color w:val="000000"/>
                <w:kern w:val="0"/>
                <w:sz w:val="22"/>
                <w:szCs w:val="22"/>
              </w:rPr>
              <w:t xml:space="preserve">    2.本套报表金额单位转换时可能存在尾数误差。</w:t>
            </w:r>
          </w:p>
        </w:tc>
      </w:tr>
    </w:tbl>
    <w:p>
      <w:pPr>
        <w:widowControl/>
        <w:jc w:val="left"/>
        <w:rPr>
          <w:rFonts w:ascii="Arial" w:cs="Arial" w:hAnsi="Arial"/>
          <w:color w:val="000000"/>
          <w:kern w:val="0"/>
          <w:sz w:val="20"/>
          <w:szCs w:val="20"/>
        </w:rPr>
        <w:sectPr>
          <w:pgSz w:w="16840" w:h="11907" w:orient="landscape"/>
          <w:pgMar w:top="1134" w:right="1440" w:bottom="1134" w:left="1440" w:header="851" w:footer="992" w:gutter="0"/>
          <w:docGrid w:type="linesAndChars" w:linePitch="312" w:charSpace="0"/>
        </w:sectPr>
      </w:pPr>
    </w:p>
    <w:tbl>
      <w:tblPr>
        <w:jc w:val="left"/>
        <w:tblW w:w="500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00"/>
        <w:gridCol w:w="311"/>
        <w:gridCol w:w="275"/>
        <w:gridCol w:w="2462"/>
        <w:gridCol w:w="1868"/>
        <w:gridCol w:w="1868"/>
        <w:gridCol w:w="1641"/>
        <w:gridCol w:w="1565"/>
        <w:gridCol w:w="1565"/>
        <w:gridCol w:w="2221"/>
      </w:tblGrid>
      <w:tr>
        <w:trPr>
          <w:trHeight w:val="390"/>
        </w:trPr>
        <w:tc>
          <w:tcPr>
            <w:tcW w:w="5000" w:type="pct"/>
            <w:gridSpan w:val="10"/>
            <w:tcBorders>
              <w:top w:val="nil"/>
              <w:left w:val="nil"/>
              <w:bottom w:val="nil"/>
              <w:right w:val="nil"/>
            </w:tcBorders>
            <w:shd w:val="clear" w:color="auto" w:fill="auto"/>
            <w:noWrap/>
            <w:vAlign w:val="bottom"/>
          </w:tcPr>
          <w:p>
            <w:pPr>
              <w:widowControl/>
              <w:jc w:val="center"/>
              <w:rPr>
                <w:rFonts w:ascii="宋体" w:cs="Arial"/>
                <w:color w:val="000000"/>
                <w:kern w:val="0"/>
                <w:sz w:val="30"/>
                <w:szCs w:val="30"/>
              </w:rPr>
            </w:pPr>
            <w:r>
              <w:rPr>
                <w:rFonts w:ascii="宋体" w:cs="Arial" w:hint="eastAsia"/>
                <w:color w:val="000000"/>
                <w:kern w:val="0"/>
                <w:sz w:val="30"/>
                <w:szCs w:val="30"/>
              </w:rPr>
              <w:t>支出决算表</w:t>
            </w:r>
          </w:p>
        </w:tc>
      </w:tr>
      <w:tr>
        <w:trPr>
          <w:trHeight w:val="255"/>
        </w:trPr>
        <w:tc>
          <w:tcPr>
            <w:tcW w:w="121"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9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82"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878"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66"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66"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85"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58"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58"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92" w:type="pct"/>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公开03表</w:t>
            </w:r>
          </w:p>
        </w:tc>
      </w:tr>
      <w:tr>
        <w:trPr>
          <w:trHeight w:val="255"/>
        </w:trPr>
        <w:tc>
          <w:tcPr>
            <w:tcW w:w="1175" w:type="pct"/>
            <w:gridSpan w:val="4"/>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部门：重庆江北机场海关</w:t>
            </w:r>
          </w:p>
        </w:tc>
        <w:tc>
          <w:tcPr>
            <w:tcW w:w="666"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66"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85"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58"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58"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92" w:type="pct"/>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1175"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666"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本年支出合计</w:t>
            </w:r>
          </w:p>
        </w:tc>
        <w:tc>
          <w:tcPr>
            <w:tcW w:w="666"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585"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c>
          <w:tcPr>
            <w:tcW w:w="558"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上缴上级支出</w:t>
            </w:r>
          </w:p>
        </w:tc>
        <w:tc>
          <w:tcPr>
            <w:tcW w:w="558"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经营支出</w:t>
            </w:r>
          </w:p>
        </w:tc>
        <w:tc>
          <w:tcPr>
            <w:tcW w:w="792"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对附属单位补助支出</w:t>
            </w:r>
          </w:p>
        </w:tc>
      </w:tr>
      <w:tr>
        <w:trPr>
          <w:trHeight w:val="312"/>
        </w:trPr>
        <w:tc>
          <w:tcPr>
            <w:tcW w:w="298" w:type="pct"/>
            <w:gridSpan w:val="3"/>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科目代码</w:t>
            </w:r>
          </w:p>
        </w:tc>
        <w:tc>
          <w:tcPr>
            <w:tcW w:w="878" w:type="pct"/>
            <w:vMerge w:val="restar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666" w:type="pct"/>
            <w:vMerge/>
            <w:tcBorders>
              <w:top w:val="single" w:sz="4" w:space="0" w:color="000000"/>
              <w:left w:val="nil"/>
              <w:bottom w:val="single" w:sz="4" w:space="0" w:color="000000"/>
              <w:right w:val="single" w:sz="4" w:space="0" w:color="000000"/>
            </w:tcBorders>
            <w:vAlign w:val="center"/>
          </w:tcPr>
          <w:p/>
        </w:tc>
        <w:tc>
          <w:tcPr>
            <w:tcW w:w="666" w:type="pct"/>
            <w:vMerge/>
            <w:tcBorders>
              <w:top w:val="single" w:sz="4" w:space="0" w:color="000000"/>
              <w:left w:val="nil"/>
              <w:bottom w:val="single" w:sz="4" w:space="0" w:color="000000"/>
              <w:right w:val="single" w:sz="4" w:space="0" w:color="000000"/>
            </w:tcBorders>
            <w:vAlign w:val="center"/>
          </w:tcPr>
          <w:p/>
        </w:tc>
        <w:tc>
          <w:tcPr>
            <w:tcW w:w="585" w:type="pct"/>
            <w:vMerge/>
            <w:tcBorders>
              <w:top w:val="single" w:sz="4" w:space="0" w:color="000000"/>
              <w:left w:val="nil"/>
              <w:bottom w:val="single" w:sz="4" w:space="0" w:color="000000"/>
              <w:right w:val="single" w:sz="4" w:space="0" w:color="000000"/>
            </w:tcBorders>
            <w:vAlign w:val="center"/>
          </w:tcPr>
          <w:p/>
        </w:tc>
        <w:tc>
          <w:tcPr>
            <w:tcW w:w="558" w:type="pct"/>
            <w:vMerge/>
            <w:tcBorders>
              <w:top w:val="single" w:sz="4" w:space="0" w:color="000000"/>
              <w:left w:val="nil"/>
              <w:bottom w:val="single" w:sz="4" w:space="0" w:color="000000"/>
              <w:right w:val="single" w:sz="4" w:space="0" w:color="000000"/>
            </w:tcBorders>
            <w:vAlign w:val="center"/>
          </w:tcPr>
          <w:p/>
        </w:tc>
        <w:tc>
          <w:tcPr>
            <w:tcW w:w="558" w:type="pct"/>
            <w:vMerge/>
            <w:tcBorders>
              <w:top w:val="single" w:sz="4" w:space="0" w:color="000000"/>
              <w:left w:val="nil"/>
              <w:bottom w:val="single" w:sz="4" w:space="0" w:color="000000"/>
              <w:right w:val="single" w:sz="4" w:space="0" w:color="000000"/>
            </w:tcBorders>
            <w:vAlign w:val="center"/>
          </w:tcPr>
          <w:p/>
        </w:tc>
        <w:tc>
          <w:tcPr>
            <w:tcW w:w="792" w:type="pct"/>
            <w:vMerge/>
            <w:tcBorders>
              <w:top w:val="single" w:sz="4" w:space="0" w:color="000000"/>
              <w:left w:val="nil"/>
              <w:bottom w:val="single" w:sz="4" w:space="0" w:color="000000"/>
              <w:right w:val="single" w:sz="4" w:space="0" w:color="000000"/>
            </w:tcBorders>
            <w:vAlign w:val="center"/>
          </w:tcPr>
          <w:p/>
        </w:tc>
      </w:tr>
      <w:tr>
        <w:trPr>
          <w:trHeight w:val="312"/>
        </w:trPr>
        <w:tc>
          <w:tcPr>
            <w:tcW w:w="298" w:type="pct"/>
            <w:gridSpan w:val="3"/>
            <w:vMerge/>
            <w:tcBorders>
              <w:top w:val="nil"/>
              <w:left w:val="single" w:sz="4" w:space="0" w:color="000000"/>
              <w:bottom w:val="single" w:sz="4" w:space="0" w:color="000000"/>
              <w:right w:val="single" w:sz="4" w:space="0" w:color="000000"/>
            </w:tcBorders>
            <w:vAlign w:val="center"/>
          </w:tcPr>
          <w:p/>
        </w:tc>
        <w:tc>
          <w:tcPr>
            <w:tcW w:w="878" w:type="pct"/>
            <w:vMerge/>
            <w:tcBorders>
              <w:top w:val="nil"/>
              <w:left w:val="nil"/>
              <w:bottom w:val="single" w:sz="4" w:space="0" w:color="000000"/>
              <w:right w:val="single" w:sz="4" w:space="0" w:color="000000"/>
            </w:tcBorders>
            <w:vAlign w:val="center"/>
          </w:tcPr>
          <w:p/>
        </w:tc>
        <w:tc>
          <w:tcPr>
            <w:tcW w:w="666" w:type="pct"/>
            <w:vMerge/>
            <w:tcBorders>
              <w:top w:val="single" w:sz="4" w:space="0" w:color="000000"/>
              <w:left w:val="nil"/>
              <w:bottom w:val="single" w:sz="4" w:space="0" w:color="000000"/>
              <w:right w:val="single" w:sz="4" w:space="0" w:color="000000"/>
            </w:tcBorders>
            <w:vAlign w:val="center"/>
          </w:tcPr>
          <w:p/>
        </w:tc>
        <w:tc>
          <w:tcPr>
            <w:tcW w:w="666" w:type="pct"/>
            <w:vMerge/>
            <w:tcBorders>
              <w:top w:val="single" w:sz="4" w:space="0" w:color="000000"/>
              <w:left w:val="nil"/>
              <w:bottom w:val="single" w:sz="4" w:space="0" w:color="000000"/>
              <w:right w:val="single" w:sz="4" w:space="0" w:color="000000"/>
            </w:tcBorders>
            <w:vAlign w:val="center"/>
          </w:tcPr>
          <w:p/>
        </w:tc>
        <w:tc>
          <w:tcPr>
            <w:tcW w:w="585" w:type="pct"/>
            <w:vMerge/>
            <w:tcBorders>
              <w:top w:val="single" w:sz="4" w:space="0" w:color="000000"/>
              <w:left w:val="nil"/>
              <w:bottom w:val="single" w:sz="4" w:space="0" w:color="000000"/>
              <w:right w:val="single" w:sz="4" w:space="0" w:color="000000"/>
            </w:tcBorders>
            <w:vAlign w:val="center"/>
          </w:tcPr>
          <w:p/>
        </w:tc>
        <w:tc>
          <w:tcPr>
            <w:tcW w:w="558" w:type="pct"/>
            <w:vMerge/>
            <w:tcBorders>
              <w:top w:val="single" w:sz="4" w:space="0" w:color="000000"/>
              <w:left w:val="nil"/>
              <w:bottom w:val="single" w:sz="4" w:space="0" w:color="000000"/>
              <w:right w:val="single" w:sz="4" w:space="0" w:color="000000"/>
            </w:tcBorders>
            <w:vAlign w:val="center"/>
          </w:tcPr>
          <w:p/>
        </w:tc>
        <w:tc>
          <w:tcPr>
            <w:tcW w:w="558" w:type="pct"/>
            <w:vMerge/>
            <w:tcBorders>
              <w:top w:val="single" w:sz="4" w:space="0" w:color="000000"/>
              <w:left w:val="nil"/>
              <w:bottom w:val="single" w:sz="4" w:space="0" w:color="000000"/>
              <w:right w:val="single" w:sz="4" w:space="0" w:color="000000"/>
            </w:tcBorders>
            <w:vAlign w:val="center"/>
          </w:tcPr>
          <w:p/>
        </w:tc>
        <w:tc>
          <w:tcPr>
            <w:tcW w:w="792" w:type="pct"/>
            <w:vMerge/>
            <w:tcBorders>
              <w:top w:val="single" w:sz="4" w:space="0" w:color="000000"/>
              <w:left w:val="nil"/>
              <w:bottom w:val="single" w:sz="4" w:space="0" w:color="000000"/>
              <w:right w:val="single" w:sz="4" w:space="0" w:color="000000"/>
            </w:tcBorders>
            <w:vAlign w:val="center"/>
          </w:tcPr>
          <w:p/>
        </w:tc>
      </w:tr>
      <w:tr>
        <w:trPr>
          <w:trHeight w:val="312"/>
        </w:trPr>
        <w:tc>
          <w:tcPr>
            <w:tcW w:w="298" w:type="pct"/>
            <w:gridSpan w:val="3"/>
            <w:vMerge/>
            <w:tcBorders>
              <w:top w:val="nil"/>
              <w:left w:val="single" w:sz="4" w:space="0" w:color="000000"/>
              <w:bottom w:val="single" w:sz="4" w:space="0" w:color="000000"/>
              <w:right w:val="single" w:sz="4" w:space="0" w:color="000000"/>
            </w:tcBorders>
            <w:vAlign w:val="center"/>
          </w:tcPr>
          <w:p/>
        </w:tc>
        <w:tc>
          <w:tcPr>
            <w:tcW w:w="878" w:type="pct"/>
            <w:vMerge/>
            <w:tcBorders>
              <w:top w:val="nil"/>
              <w:left w:val="nil"/>
              <w:bottom w:val="single" w:sz="4" w:space="0" w:color="000000"/>
              <w:right w:val="single" w:sz="4" w:space="0" w:color="000000"/>
            </w:tcBorders>
            <w:vAlign w:val="center"/>
          </w:tcPr>
          <w:p/>
        </w:tc>
        <w:tc>
          <w:tcPr>
            <w:tcW w:w="666" w:type="pct"/>
            <w:vMerge/>
            <w:tcBorders>
              <w:top w:val="single" w:sz="4" w:space="0" w:color="000000"/>
              <w:left w:val="nil"/>
              <w:bottom w:val="single" w:sz="4" w:space="0" w:color="000000"/>
              <w:right w:val="single" w:sz="4" w:space="0" w:color="000000"/>
            </w:tcBorders>
            <w:vAlign w:val="center"/>
          </w:tcPr>
          <w:p/>
        </w:tc>
        <w:tc>
          <w:tcPr>
            <w:tcW w:w="666" w:type="pct"/>
            <w:vMerge/>
            <w:tcBorders>
              <w:top w:val="single" w:sz="4" w:space="0" w:color="000000"/>
              <w:left w:val="nil"/>
              <w:bottom w:val="single" w:sz="4" w:space="0" w:color="000000"/>
              <w:right w:val="single" w:sz="4" w:space="0" w:color="000000"/>
            </w:tcBorders>
            <w:vAlign w:val="center"/>
          </w:tcPr>
          <w:p/>
        </w:tc>
        <w:tc>
          <w:tcPr>
            <w:tcW w:w="585" w:type="pct"/>
            <w:vMerge/>
            <w:tcBorders>
              <w:top w:val="single" w:sz="4" w:space="0" w:color="000000"/>
              <w:left w:val="nil"/>
              <w:bottom w:val="single" w:sz="4" w:space="0" w:color="000000"/>
              <w:right w:val="single" w:sz="4" w:space="0" w:color="000000"/>
            </w:tcBorders>
            <w:vAlign w:val="center"/>
          </w:tcPr>
          <w:p/>
        </w:tc>
        <w:tc>
          <w:tcPr>
            <w:tcW w:w="558" w:type="pct"/>
            <w:vMerge/>
            <w:tcBorders>
              <w:top w:val="single" w:sz="4" w:space="0" w:color="000000"/>
              <w:left w:val="nil"/>
              <w:bottom w:val="single" w:sz="4" w:space="0" w:color="000000"/>
              <w:right w:val="single" w:sz="4" w:space="0" w:color="000000"/>
            </w:tcBorders>
            <w:vAlign w:val="center"/>
          </w:tcPr>
          <w:p/>
        </w:tc>
        <w:tc>
          <w:tcPr>
            <w:tcW w:w="558" w:type="pct"/>
            <w:vMerge/>
            <w:tcBorders>
              <w:top w:val="single" w:sz="4" w:space="0" w:color="000000"/>
              <w:left w:val="nil"/>
              <w:bottom w:val="single" w:sz="4" w:space="0" w:color="000000"/>
              <w:right w:val="single" w:sz="4" w:space="0" w:color="000000"/>
            </w:tcBorders>
            <w:vAlign w:val="center"/>
          </w:tcPr>
          <w:p/>
        </w:tc>
        <w:tc>
          <w:tcPr>
            <w:tcW w:w="792" w:type="pct"/>
            <w:vMerge/>
            <w:tcBorders>
              <w:top w:val="single" w:sz="4" w:space="0" w:color="000000"/>
              <w:left w:val="nil"/>
              <w:bottom w:val="single" w:sz="4" w:space="0" w:color="000000"/>
              <w:right w:val="single" w:sz="4" w:space="0" w:color="000000"/>
            </w:tcBorders>
            <w:vAlign w:val="center"/>
          </w:tcPr>
          <w:p/>
        </w:tc>
      </w:tr>
      <w:tr>
        <w:trPr>
          <w:trHeight w:val="308"/>
        </w:trPr>
        <w:tc>
          <w:tcPr>
            <w:tcW w:w="1175" w:type="pct"/>
            <w:gridSpan w:val="4"/>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666"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666"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585"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558"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558"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792"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r>
      <w:tr>
        <w:trPr>
          <w:trHeight w:val="308"/>
        </w:trPr>
        <w:tc>
          <w:tcPr>
            <w:tcW w:w="1175" w:type="pct"/>
            <w:gridSpan w:val="4"/>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2,584.41</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2,508.93</w:t>
            </w:r>
          </w:p>
        </w:tc>
        <w:tc>
          <w:tcPr>
            <w:tcW w:w="58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75.48</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0.00</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0.00</w:t>
            </w:r>
          </w:p>
        </w:tc>
        <w:tc>
          <w:tcPr>
            <w:tcW w:w="79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0.00</w:t>
            </w:r>
          </w:p>
        </w:tc>
      </w:tr>
      <w:tr>
        <w:trPr>
          <w:trHeight w:val="308"/>
        </w:trPr>
        <w:tc>
          <w:tcPr>
            <w:tcW w:w="298"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w:t>
            </w:r>
          </w:p>
        </w:tc>
        <w:tc>
          <w:tcPr>
            <w:tcW w:w="878"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一般公共服务支出</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2,584.41</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2,508.93</w:t>
            </w:r>
          </w:p>
        </w:tc>
        <w:tc>
          <w:tcPr>
            <w:tcW w:w="58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75.48</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9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98"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w:t>
            </w:r>
          </w:p>
        </w:tc>
        <w:tc>
          <w:tcPr>
            <w:tcW w:w="878"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海关事务</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2,584.41</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2,508.93</w:t>
            </w:r>
          </w:p>
        </w:tc>
        <w:tc>
          <w:tcPr>
            <w:tcW w:w="58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75.48</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9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98"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2010901</w:t>
            </w:r>
          </w:p>
        </w:tc>
        <w:tc>
          <w:tcPr>
            <w:tcW w:w="878"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行政运行</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2,508.93</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2,508.93</w:t>
            </w:r>
          </w:p>
        </w:tc>
        <w:tc>
          <w:tcPr>
            <w:tcW w:w="58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9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98"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2010909</w:t>
            </w:r>
          </w:p>
        </w:tc>
        <w:tc>
          <w:tcPr>
            <w:tcW w:w="878"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海关关务</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56.00</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8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56.00</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9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98"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2010911</w:t>
            </w:r>
          </w:p>
        </w:tc>
        <w:tc>
          <w:tcPr>
            <w:tcW w:w="878"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海关监管</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11.48</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8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11.48</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9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98"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2010912</w:t>
            </w:r>
          </w:p>
        </w:tc>
        <w:tc>
          <w:tcPr>
            <w:tcW w:w="878"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检验检疫</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8.00</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8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8.00</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79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98"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878"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8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79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298"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878"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66"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8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58"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792"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5000" w:type="pct"/>
            <w:gridSpan w:val="10"/>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注：1.本表反映部门本年度各项支出情况。</w:t>
            </w:r>
          </w:p>
          <w:p>
            <w:pPr>
              <w:widowControl/>
              <w:jc w:val="left"/>
              <w:rPr>
                <w:rFonts w:ascii="宋体" w:cs="Arial"/>
                <w:color w:val="000000"/>
                <w:kern w:val="0"/>
                <w:sz w:val="22"/>
                <w:szCs w:val="22"/>
              </w:rPr>
            </w:pPr>
            <w:r>
              <w:rPr>
                <w:rFonts w:ascii="宋体" w:cs="Arial" w:hint="eastAsia"/>
                <w:color w:val="000000"/>
                <w:kern w:val="0"/>
                <w:sz w:val="22"/>
                <w:szCs w:val="22"/>
              </w:rPr>
              <w:t xml:space="preserve">    2.本套报表金额单位转换时可能存在尾数误差。</w:t>
            </w:r>
          </w:p>
        </w:tc>
      </w:tr>
    </w:tbl>
    <w:p>
      <w:pPr>
        <w:widowControl/>
        <w:jc w:val="left"/>
        <w:rPr>
          <w:rFonts w:ascii="Arial" w:cs="Arial" w:hAnsi="Arial"/>
          <w:color w:val="000000"/>
          <w:kern w:val="0"/>
          <w:sz w:val="20"/>
          <w:szCs w:val="20"/>
        </w:rPr>
        <w:sectPr>
          <w:pgSz w:w="16840" w:h="11907" w:orient="landscape"/>
          <w:pgMar w:top="1134" w:right="1440" w:bottom="1134" w:left="1440" w:header="851" w:footer="992" w:gutter="0"/>
          <w:docGrid w:type="linesAndChars" w:linePitch="312" w:charSpace="0"/>
        </w:sectPr>
      </w:pPr>
    </w:p>
    <w:tbl>
      <w:tblPr>
        <w:jc w:val="left"/>
        <w:tblW w:w="500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3064"/>
        <w:gridCol w:w="608"/>
        <w:gridCol w:w="1019"/>
        <w:gridCol w:w="3268"/>
        <w:gridCol w:w="608"/>
        <w:gridCol w:w="511"/>
        <w:gridCol w:w="508"/>
        <w:gridCol w:w="1042"/>
        <w:gridCol w:w="805"/>
        <w:gridCol w:w="665"/>
        <w:gridCol w:w="574"/>
        <w:gridCol w:w="0"/>
        <w:gridCol w:w="1502"/>
      </w:tblGrid>
      <w:tr>
        <w:trPr>
          <w:trHeight w:val="390"/>
        </w:trPr>
        <w:tc>
          <w:tcPr>
            <w:tcW w:w="5000" w:type="pct"/>
            <w:gridSpan w:val="13"/>
            <w:tcBorders>
              <w:top w:val="nil"/>
              <w:left w:val="nil"/>
              <w:bottom w:val="nil"/>
              <w:right w:val="nil"/>
            </w:tcBorders>
            <w:shd w:val="clear" w:color="auto" w:fill="auto"/>
            <w:noWrap/>
            <w:vAlign w:val="bottom"/>
          </w:tcPr>
          <w:p>
            <w:pPr>
              <w:widowControl/>
              <w:jc w:val="center"/>
              <w:rPr>
                <w:rFonts w:ascii="宋体" w:cs="Arial"/>
                <w:color w:val="000000"/>
                <w:kern w:val="0"/>
                <w:sz w:val="30"/>
                <w:szCs w:val="30"/>
              </w:rPr>
            </w:pPr>
            <w:r>
              <w:rPr>
                <w:rFonts w:ascii="宋体" w:cs="Arial" w:hint="eastAsia"/>
                <w:color w:val="000000"/>
                <w:kern w:val="0"/>
                <w:sz w:val="30"/>
                <w:szCs w:val="30"/>
              </w:rPr>
              <w:t>财政拨款收入支出决算总表</w:t>
            </w:r>
          </w:p>
        </w:tc>
      </w:tr>
      <w:tr>
        <w:trPr>
          <w:trHeight w:val="255"/>
        </w:trPr>
        <w:tc>
          <w:tcPr>
            <w:tcW w:w="1073"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13"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5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14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92"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3"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15"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38"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26" w:type="pct"/>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公开04表</w:t>
            </w:r>
          </w:p>
        </w:tc>
      </w:tr>
      <w:tr>
        <w:trPr>
          <w:trHeight w:val="255"/>
        </w:trPr>
        <w:tc>
          <w:tcPr>
            <w:tcW w:w="1073" w:type="pct"/>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部门：重庆江北机场海关</w:t>
            </w:r>
          </w:p>
        </w:tc>
        <w:tc>
          <w:tcPr>
            <w:tcW w:w="213"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5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14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92"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3"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15"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38"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26" w:type="pct"/>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164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收     入</w:t>
            </w:r>
          </w:p>
        </w:tc>
        <w:tc>
          <w:tcPr>
            <w:tcW w:w="3357" w:type="pct"/>
            <w:gridSpan w:val="10"/>
            <w:tcBorders>
              <w:top w:val="single" w:sz="4" w:space="0" w:color="000000"/>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支     出</w:t>
            </w:r>
          </w:p>
        </w:tc>
      </w:tr>
      <w:tr>
        <w:trPr>
          <w:trHeight w:val="312"/>
        </w:trPr>
        <w:tc>
          <w:tcPr>
            <w:tcW w:w="1073"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213"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357"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金额</w:t>
            </w:r>
          </w:p>
        </w:tc>
        <w:tc>
          <w:tcPr>
            <w:tcW w:w="1144"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213"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357" w:type="pct"/>
            <w:gridSpan w:val="2"/>
            <w:vMerge w:val="restar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647" w:type="pct"/>
            <w:gridSpan w:val="2"/>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一般公共预算财政拨款</w:t>
            </w:r>
          </w:p>
        </w:tc>
        <w:tc>
          <w:tcPr>
            <w:tcW w:w="434" w:type="pct"/>
            <w:gridSpan w:val="2"/>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政府性基金预算财政拨款</w:t>
            </w:r>
          </w:p>
        </w:tc>
        <w:tc>
          <w:tcPr>
            <w:tcW w:w="562" w:type="pct"/>
            <w:gridSpan w:val="2"/>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国有资本经营预算财政拨款</w:t>
            </w:r>
          </w:p>
        </w:tc>
      </w:tr>
      <w:tr>
        <w:trPr>
          <w:trHeight w:val="615"/>
        </w:trPr>
        <w:tc>
          <w:tcPr>
            <w:tcW w:w="1073" w:type="pct"/>
            <w:vMerge/>
            <w:tcBorders>
              <w:top w:val="nil"/>
              <w:left w:val="single" w:sz="4" w:space="0" w:color="000000"/>
              <w:bottom w:val="single" w:sz="4" w:space="0" w:color="000000"/>
              <w:right w:val="single" w:sz="4" w:space="0" w:color="000000"/>
            </w:tcBorders>
            <w:vAlign w:val="center"/>
          </w:tcPr>
          <w:p/>
        </w:tc>
        <w:tc>
          <w:tcPr>
            <w:tcW w:w="213" w:type="pct"/>
            <w:vMerge/>
            <w:tcBorders>
              <w:top w:val="nil"/>
              <w:left w:val="nil"/>
              <w:bottom w:val="single" w:sz="4" w:space="0" w:color="000000"/>
              <w:right w:val="single" w:sz="4" w:space="0" w:color="000000"/>
            </w:tcBorders>
            <w:vAlign w:val="center"/>
          </w:tcPr>
          <w:p/>
        </w:tc>
        <w:tc>
          <w:tcPr>
            <w:tcW w:w="357" w:type="pct"/>
            <w:vMerge/>
            <w:tcBorders>
              <w:top w:val="nil"/>
              <w:left w:val="nil"/>
              <w:bottom w:val="single" w:sz="4" w:space="0" w:color="000000"/>
              <w:right w:val="single" w:sz="4" w:space="0" w:color="000000"/>
            </w:tcBorders>
            <w:vAlign w:val="center"/>
          </w:tcPr>
          <w:p/>
        </w:tc>
        <w:tc>
          <w:tcPr>
            <w:tcW w:w="1144" w:type="pct"/>
            <w:vMerge/>
            <w:tcBorders>
              <w:top w:val="nil"/>
              <w:left w:val="nil"/>
              <w:bottom w:val="single" w:sz="4" w:space="0" w:color="000000"/>
              <w:right w:val="single" w:sz="4" w:space="0" w:color="000000"/>
            </w:tcBorders>
            <w:vAlign w:val="center"/>
          </w:tcPr>
          <w:p/>
        </w:tc>
        <w:tc>
          <w:tcPr>
            <w:tcW w:w="213" w:type="pct"/>
            <w:vMerge/>
            <w:tcBorders>
              <w:top w:val="nil"/>
              <w:left w:val="nil"/>
              <w:bottom w:val="single" w:sz="4" w:space="0" w:color="000000"/>
              <w:right w:val="single" w:sz="4" w:space="0" w:color="000000"/>
            </w:tcBorders>
            <w:vAlign w:val="center"/>
          </w:tcPr>
          <w:p/>
        </w:tc>
        <w:tc>
          <w:tcPr>
            <w:tcW w:w="357" w:type="pct"/>
            <w:gridSpan w:val="2"/>
            <w:vMerge/>
            <w:tcBorders>
              <w:top w:val="nil"/>
              <w:left w:val="nil"/>
              <w:bottom w:val="single" w:sz="4" w:space="0" w:color="000000"/>
              <w:right w:val="single" w:sz="4" w:space="0" w:color="000000"/>
            </w:tcBorders>
            <w:vAlign w:val="center"/>
          </w:tcPr>
          <w:p/>
        </w:tc>
        <w:tc>
          <w:tcPr>
            <w:tcW w:w="647" w:type="pct"/>
            <w:gridSpan w:val="2"/>
            <w:vMerge/>
            <w:tcBorders>
              <w:top w:val="nil"/>
              <w:left w:val="nil"/>
              <w:bottom w:val="single" w:sz="4" w:space="0" w:color="000000"/>
              <w:right w:val="single" w:sz="4" w:space="0" w:color="000000"/>
            </w:tcBorders>
            <w:vAlign w:val="center"/>
          </w:tcPr>
          <w:p/>
        </w:tc>
        <w:tc>
          <w:tcPr>
            <w:tcW w:w="434" w:type="pct"/>
            <w:gridSpan w:val="2"/>
            <w:vMerge/>
            <w:tcBorders>
              <w:top w:val="nil"/>
              <w:left w:val="nil"/>
              <w:bottom w:val="single" w:sz="4" w:space="0" w:color="000000"/>
              <w:right w:val="single" w:sz="4" w:space="0" w:color="000000"/>
            </w:tcBorders>
            <w:vAlign w:val="center"/>
          </w:tcPr>
          <w:p/>
        </w:tc>
        <w:tc>
          <w:tcPr>
            <w:tcW w:w="562" w:type="pct"/>
            <w:gridSpan w:val="2"/>
            <w:vMerge/>
            <w:tcBorders>
              <w:top w:val="nil"/>
              <w:left w:val="nil"/>
              <w:bottom w:val="single" w:sz="4" w:space="0" w:color="000000"/>
              <w:right w:val="single" w:sz="4" w:space="0" w:color="000000"/>
            </w:tcBorders>
            <w:vAlign w:val="center"/>
          </w:tcP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一、一般公共预算财政拨款</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一、一般公共服务支出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33</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二、政府性基金预算财政拨款</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二、外交支出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34</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三、国有资本经营预算财政拨款</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三、国防支出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35</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四、公共安全支出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36</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五、教育支出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37</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六、科学技术支出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38</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七、文化旅游体育与传媒支出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39</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8</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八、社会保障和就业支出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40</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9</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九、卫生健康支出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41</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10</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十、节能环保支出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42</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11</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十一、城乡社区支出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43</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12</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十二、农林水支出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44</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13</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十三、交通运输支出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45</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14</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十四、资源勘探工业信息等支出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46</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15</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十五、商业服务业等支出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47</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16</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十六、金融支出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48</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17</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十七、援助其他地区支出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49</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18</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十八、自然资源海洋气象等支出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50</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19</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十九、住房保障支出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51</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20</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二十、粮油物资储备支出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52</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21</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二十一、国有资本经营预算支出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53</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22</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二十二、灾害防治及应急管理支出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54</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23</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二十三、其他支出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55</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b/>
                <w:bCs/>
                <w:color w:val="000000"/>
                <w:kern w:val="0"/>
                <w:sz w:val="20"/>
                <w:szCs w:val="20"/>
              </w:rPr>
            </w:pPr>
            <w:r>
              <w:rPr>
                <w:rFonts w:ascii="宋体" w:cs="Arial" w:hint="eastAsia"/>
                <w:b/>
                <w:bCs/>
                <w:color w:val="000000"/>
                <w:kern w:val="0"/>
                <w:sz w:val="20"/>
                <w:szCs w:val="20"/>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24</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二十四、债务还本支出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56</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0"/>
                <w:szCs w:val="20"/>
              </w:rPr>
            </w:pPr>
            <w:r>
              <w:rPr>
                <w:rFonts w:ascii="宋体" w:cs="Arial" w:hint="eastAsia"/>
                <w:color w:val="000000"/>
                <w:kern w:val="0"/>
                <w:sz w:val="20"/>
                <w:szCs w:val="20"/>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25</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二十五、债务付息支出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57</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0"/>
                <w:szCs w:val="20"/>
              </w:rPr>
            </w:pPr>
            <w:r>
              <w:rPr>
                <w:rFonts w:ascii="宋体" w:cs="Arial" w:hint="eastAsia"/>
                <w:color w:val="000000"/>
                <w:kern w:val="0"/>
                <w:sz w:val="20"/>
                <w:szCs w:val="20"/>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26</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二十六、抗疫特别国债安排的支出</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58</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本年收入合计</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27</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本年支出合计</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59</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年初财政拨款结转和结余</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28</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年末财政拨款结转和结余</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60</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一般公共预算财政拨款</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29</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61</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政府性基金预算财政拨款</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30</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62</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国有资本经营预算财政拨款</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31</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63</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73" w:type="pct"/>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32</w:t>
            </w:r>
          </w:p>
        </w:tc>
        <w:tc>
          <w:tcPr>
            <w:tcW w:w="35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1144"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213"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64</w:t>
            </w:r>
          </w:p>
        </w:tc>
        <w:tc>
          <w:tcPr>
            <w:tcW w:w="35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647"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434"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56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4438" w:type="pct"/>
            <w:gridSpan w:val="11"/>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注：1.本表反映部门本年度一般公共预算财政拨款、政府性基金预算财政拨款和国有资本经营预算财政拨款的总收支和年末结转结余情况。</w:t>
            </w:r>
          </w:p>
          <w:p>
            <w:pPr>
              <w:widowControl/>
              <w:jc w:val="left"/>
              <w:rPr>
                <w:rFonts w:ascii="宋体" w:cs="Arial"/>
                <w:color w:val="000000"/>
                <w:kern w:val="0"/>
                <w:sz w:val="22"/>
                <w:szCs w:val="22"/>
              </w:rPr>
            </w:pPr>
            <w:r>
              <w:rPr>
                <w:rFonts w:ascii="宋体" w:cs="Arial" w:hint="eastAsia"/>
                <w:color w:val="000000"/>
                <w:kern w:val="0"/>
                <w:sz w:val="22"/>
                <w:szCs w:val="22"/>
              </w:rPr>
              <w:t xml:space="preserve">    2.本套报表金额单位转换时可能存在尾数误差。</w:t>
            </w:r>
          </w:p>
        </w:tc>
        <w:tc>
          <w:tcPr>
            <w:tcW w:w="562" w:type="pct"/>
            <w:gridSpan w:val="2"/>
            <w:tcBorders>
              <w:top w:val="nil"/>
              <w:left w:val="nil"/>
              <w:bottom w:val="nil"/>
              <w:right w:val="nil"/>
            </w:tcBorders>
            <w:shd w:val="clear" w:color="auto" w:fill="auto"/>
            <w:noWrap/>
            <w:vAlign w:val="center"/>
          </w:tcPr>
          <w:p>
            <w:pPr>
              <w:widowControl/>
              <w:jc w:val="left"/>
              <w:rPr>
                <w:rFonts w:ascii="宋体" w:cs="Arial"/>
                <w:color w:val="000000"/>
                <w:kern w:val="0"/>
                <w:sz w:val="20"/>
                <w:szCs w:val="20"/>
              </w:rPr>
            </w:pPr>
          </w:p>
        </w:tc>
      </w:tr>
    </w:tbl>
    <w:p>
      <w:pPr>
        <w:widowControl/>
        <w:jc w:val="left"/>
        <w:rPr>
          <w:rFonts w:ascii="Arial" w:cs="Arial" w:hAnsi="Arial"/>
          <w:color w:val="000000"/>
          <w:kern w:val="0"/>
          <w:sz w:val="20"/>
          <w:szCs w:val="20"/>
        </w:rPr>
        <w:sectPr>
          <w:pgSz w:w="16840" w:h="11907" w:orient="landscape"/>
          <w:pgMar w:top="1134" w:right="1440" w:bottom="1134" w:left="1440" w:header="851" w:footer="992" w:gutter="0"/>
          <w:docGrid w:type="linesAndChars" w:linePitch="312" w:charSpace="0"/>
        </w:sectPr>
      </w:pPr>
    </w:p>
    <w:tbl>
      <w:tblPr>
        <w:jc w:val="left"/>
        <w:tblInd w:w="93" w:type="dxa"/>
        <w:tblW w:w="12357"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328"/>
        <w:gridCol w:w="256"/>
        <w:gridCol w:w="216"/>
        <w:gridCol w:w="3037"/>
        <w:gridCol w:w="2695"/>
        <w:gridCol w:w="2695"/>
        <w:gridCol w:w="3130"/>
      </w:tblGrid>
      <w:tr>
        <w:trPr>
          <w:trHeight w:val="390"/>
        </w:trPr>
        <w:tc>
          <w:tcPr>
            <w:tcW w:w="12357" w:type="dxa"/>
            <w:gridSpan w:val="7"/>
            <w:tcBorders>
              <w:top w:val="nil"/>
              <w:left w:val="nil"/>
              <w:bottom w:val="nil"/>
              <w:right w:val="nil"/>
            </w:tcBorders>
            <w:shd w:val="clear" w:color="auto" w:fill="auto"/>
            <w:noWrap/>
            <w:vAlign w:val="bottom"/>
          </w:tcPr>
          <w:p>
            <w:pPr>
              <w:widowControl/>
              <w:jc w:val="center"/>
              <w:rPr>
                <w:rFonts w:ascii="宋体" w:cs="Arial"/>
                <w:color w:val="000000"/>
                <w:kern w:val="0"/>
                <w:sz w:val="30"/>
                <w:szCs w:val="30"/>
              </w:rPr>
            </w:pPr>
            <w:r>
              <w:rPr>
                <w:rFonts w:ascii="宋体" w:cs="Arial" w:hint="eastAsia"/>
                <w:color w:val="000000"/>
                <w:kern w:val="0"/>
                <w:sz w:val="30"/>
                <w:szCs w:val="30"/>
              </w:rPr>
              <w:t>一般公共预算财政拨款支出决算表</w:t>
            </w:r>
          </w:p>
        </w:tc>
      </w:tr>
      <w:tr>
        <w:trPr>
          <w:trHeight w:val="255"/>
        </w:trPr>
        <w:tc>
          <w:tcPr>
            <w:tcW w:w="328"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5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1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037"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695"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695"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130"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公开05表</w:t>
            </w:r>
          </w:p>
        </w:tc>
      </w:tr>
      <w:tr>
        <w:trPr>
          <w:trHeight w:val="255"/>
        </w:trPr>
        <w:tc>
          <w:tcPr>
            <w:tcW w:w="3837" w:type="dxa"/>
            <w:gridSpan w:val="4"/>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部门：重庆江北机场海关</w:t>
            </w:r>
          </w:p>
        </w:tc>
        <w:tc>
          <w:tcPr>
            <w:tcW w:w="2695"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695"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130"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3837"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8520"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w:t>
            </w:r>
          </w:p>
        </w:tc>
      </w:tr>
      <w:tr>
        <w:trPr>
          <w:trHeight w:val="312"/>
        </w:trPr>
        <w:tc>
          <w:tcPr>
            <w:tcW w:w="800" w:type="dxa"/>
            <w:gridSpan w:val="3"/>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科目代码</w:t>
            </w:r>
          </w:p>
        </w:tc>
        <w:tc>
          <w:tcPr>
            <w:tcW w:w="3037" w:type="dxa"/>
            <w:vMerge w:val="restar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2695" w:type="dxa"/>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2695" w:type="dxa"/>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3130" w:type="dxa"/>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r>
      <w:tr>
        <w:trPr>
          <w:trHeight w:val="312"/>
        </w:trPr>
        <w:tc>
          <w:tcPr>
            <w:tcW w:w="800" w:type="dxa"/>
            <w:gridSpan w:val="3"/>
            <w:vMerge/>
            <w:tcBorders>
              <w:top w:val="nil"/>
              <w:left w:val="single" w:sz="4" w:space="0" w:color="000000"/>
              <w:bottom w:val="single" w:sz="4" w:space="0" w:color="000000"/>
              <w:right w:val="single" w:sz="4" w:space="0" w:color="000000"/>
            </w:tcBorders>
            <w:vAlign w:val="center"/>
          </w:tcPr>
          <w:p/>
        </w:tc>
        <w:tc>
          <w:tcPr>
            <w:tcW w:w="3037" w:type="dxa"/>
            <w:vMerge/>
            <w:tcBorders>
              <w:top w:val="nil"/>
              <w:left w:val="nil"/>
              <w:bottom w:val="single" w:sz="4" w:space="0" w:color="000000"/>
              <w:right w:val="single" w:sz="4" w:space="0" w:color="000000"/>
            </w:tcBorders>
            <w:vAlign w:val="center"/>
          </w:tcPr>
          <w:p/>
        </w:tc>
        <w:tc>
          <w:tcPr>
            <w:tcW w:w="2695" w:type="dxa"/>
            <w:vMerge/>
            <w:tcBorders>
              <w:top w:val="nil"/>
              <w:left w:val="nil"/>
              <w:bottom w:val="single" w:sz="4" w:space="0" w:color="000000"/>
              <w:right w:val="single" w:sz="4" w:space="0" w:color="000000"/>
            </w:tcBorders>
            <w:vAlign w:val="center"/>
          </w:tcPr>
          <w:p/>
        </w:tc>
        <w:tc>
          <w:tcPr>
            <w:tcW w:w="2695" w:type="dxa"/>
            <w:vMerge/>
            <w:tcBorders>
              <w:top w:val="nil"/>
              <w:left w:val="nil"/>
              <w:bottom w:val="single" w:sz="4" w:space="0" w:color="000000"/>
              <w:right w:val="single" w:sz="4" w:space="0" w:color="000000"/>
            </w:tcBorders>
            <w:vAlign w:val="center"/>
          </w:tcPr>
          <w:p/>
        </w:tc>
        <w:tc>
          <w:tcPr>
            <w:tcW w:w="3130" w:type="dxa"/>
            <w:vMerge/>
            <w:tcBorders>
              <w:top w:val="nil"/>
              <w:left w:val="nil"/>
              <w:bottom w:val="single" w:sz="4" w:space="0" w:color="000000"/>
              <w:right w:val="single" w:sz="4" w:space="0" w:color="000000"/>
            </w:tcBorders>
            <w:vAlign w:val="center"/>
          </w:tcPr>
          <w:p/>
        </w:tc>
      </w:tr>
      <w:tr>
        <w:trPr>
          <w:trHeight w:val="312"/>
        </w:trPr>
        <w:tc>
          <w:tcPr>
            <w:tcW w:w="800" w:type="dxa"/>
            <w:gridSpan w:val="3"/>
            <w:vMerge/>
            <w:tcBorders>
              <w:top w:val="nil"/>
              <w:left w:val="single" w:sz="4" w:space="0" w:color="000000"/>
              <w:bottom w:val="single" w:sz="4" w:space="0" w:color="000000"/>
              <w:right w:val="single" w:sz="4" w:space="0" w:color="000000"/>
            </w:tcBorders>
            <w:vAlign w:val="center"/>
          </w:tcPr>
          <w:p/>
        </w:tc>
        <w:tc>
          <w:tcPr>
            <w:tcW w:w="3037" w:type="dxa"/>
            <w:vMerge/>
            <w:tcBorders>
              <w:top w:val="nil"/>
              <w:left w:val="nil"/>
              <w:bottom w:val="single" w:sz="4" w:space="0" w:color="000000"/>
              <w:right w:val="single" w:sz="4" w:space="0" w:color="000000"/>
            </w:tcBorders>
            <w:vAlign w:val="center"/>
          </w:tcPr>
          <w:p/>
        </w:tc>
        <w:tc>
          <w:tcPr>
            <w:tcW w:w="2695" w:type="dxa"/>
            <w:vMerge/>
            <w:tcBorders>
              <w:top w:val="nil"/>
              <w:left w:val="nil"/>
              <w:bottom w:val="single" w:sz="4" w:space="0" w:color="000000"/>
              <w:right w:val="single" w:sz="4" w:space="0" w:color="000000"/>
            </w:tcBorders>
            <w:vAlign w:val="center"/>
          </w:tcPr>
          <w:p/>
        </w:tc>
        <w:tc>
          <w:tcPr>
            <w:tcW w:w="2695" w:type="dxa"/>
            <w:vMerge/>
            <w:tcBorders>
              <w:top w:val="nil"/>
              <w:left w:val="nil"/>
              <w:bottom w:val="single" w:sz="4" w:space="0" w:color="000000"/>
              <w:right w:val="single" w:sz="4" w:space="0" w:color="000000"/>
            </w:tcBorders>
            <w:vAlign w:val="center"/>
          </w:tcPr>
          <w:p/>
        </w:tc>
        <w:tc>
          <w:tcPr>
            <w:tcW w:w="3130" w:type="dxa"/>
            <w:vMerge/>
            <w:tcBorders>
              <w:top w:val="nil"/>
              <w:left w:val="nil"/>
              <w:bottom w:val="single" w:sz="4" w:space="0" w:color="000000"/>
              <w:right w:val="single" w:sz="4" w:space="0" w:color="000000"/>
            </w:tcBorders>
            <w:vAlign w:val="center"/>
          </w:tcPr>
          <w:p/>
        </w:tc>
      </w:tr>
      <w:tr>
        <w:trPr>
          <w:trHeight w:val="308"/>
        </w:trPr>
        <w:tc>
          <w:tcPr>
            <w:tcW w:w="3837" w:type="dxa"/>
            <w:gridSpan w:val="4"/>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3130"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r>
      <w:tr>
        <w:trPr>
          <w:trHeight w:val="308"/>
        </w:trPr>
        <w:tc>
          <w:tcPr>
            <w:tcW w:w="3837" w:type="dxa"/>
            <w:gridSpan w:val="4"/>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1,626.30</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1,550.82</w:t>
            </w:r>
          </w:p>
        </w:tc>
        <w:tc>
          <w:tcPr>
            <w:tcW w:w="31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75.48</w:t>
            </w:r>
          </w:p>
        </w:tc>
      </w:tr>
      <w:tr>
        <w:trPr>
          <w:trHeight w:val="308"/>
        </w:trPr>
        <w:tc>
          <w:tcPr>
            <w:tcW w:w="800"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w:t>
            </w:r>
          </w:p>
        </w:tc>
        <w:tc>
          <w:tcPr>
            <w:tcW w:w="3037"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一般公共服务支出</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1,550.82</w:t>
            </w:r>
          </w:p>
        </w:tc>
        <w:tc>
          <w:tcPr>
            <w:tcW w:w="31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75.48</w:t>
            </w:r>
          </w:p>
        </w:tc>
      </w:tr>
      <w:tr>
        <w:trPr>
          <w:trHeight w:val="308"/>
        </w:trPr>
        <w:tc>
          <w:tcPr>
            <w:tcW w:w="800"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w:t>
            </w:r>
          </w:p>
        </w:tc>
        <w:tc>
          <w:tcPr>
            <w:tcW w:w="3037"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海关事务</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1,626.30</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1,550.82</w:t>
            </w:r>
          </w:p>
        </w:tc>
        <w:tc>
          <w:tcPr>
            <w:tcW w:w="31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75.48</w:t>
            </w:r>
          </w:p>
        </w:tc>
      </w:tr>
      <w:tr>
        <w:trPr>
          <w:trHeight w:val="308"/>
        </w:trPr>
        <w:tc>
          <w:tcPr>
            <w:tcW w:w="800"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2010901</w:t>
            </w:r>
          </w:p>
        </w:tc>
        <w:tc>
          <w:tcPr>
            <w:tcW w:w="3037"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行政运行</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1,550.82</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1,550.82</w:t>
            </w:r>
          </w:p>
        </w:tc>
        <w:tc>
          <w:tcPr>
            <w:tcW w:w="31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800"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2010909</w:t>
            </w:r>
          </w:p>
        </w:tc>
        <w:tc>
          <w:tcPr>
            <w:tcW w:w="3037"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海关关务</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56.00</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56.00</w:t>
            </w:r>
          </w:p>
        </w:tc>
      </w:tr>
      <w:tr>
        <w:trPr>
          <w:trHeight w:val="308"/>
        </w:trPr>
        <w:tc>
          <w:tcPr>
            <w:tcW w:w="800"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2010911</w:t>
            </w:r>
          </w:p>
        </w:tc>
        <w:tc>
          <w:tcPr>
            <w:tcW w:w="3037"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海关监管</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11.48</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11.48</w:t>
            </w:r>
          </w:p>
        </w:tc>
      </w:tr>
      <w:tr>
        <w:trPr>
          <w:trHeight w:val="308"/>
        </w:trPr>
        <w:tc>
          <w:tcPr>
            <w:tcW w:w="800"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2010912</w:t>
            </w:r>
          </w:p>
        </w:tc>
        <w:tc>
          <w:tcPr>
            <w:tcW w:w="3037"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检验检疫</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8.00</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8.00</w:t>
            </w:r>
          </w:p>
        </w:tc>
      </w:tr>
      <w:tr>
        <w:trPr>
          <w:trHeight w:val="308"/>
        </w:trPr>
        <w:tc>
          <w:tcPr>
            <w:tcW w:w="800"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3037"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1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800"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3037"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95"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1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2357" w:type="dxa"/>
            <w:gridSpan w:val="7"/>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注：1.本表反映部门本年度一般公共预算财政拨款支出情况。</w:t>
            </w:r>
          </w:p>
          <w:p>
            <w:pPr>
              <w:widowControl/>
              <w:jc w:val="left"/>
              <w:rPr>
                <w:rFonts w:ascii="宋体" w:cs="Arial"/>
                <w:color w:val="000000"/>
                <w:kern w:val="0"/>
                <w:sz w:val="22"/>
                <w:szCs w:val="22"/>
              </w:rPr>
            </w:pPr>
            <w:r>
              <w:rPr>
                <w:rFonts w:ascii="宋体" w:cs="Arial" w:hint="eastAsia"/>
                <w:color w:val="000000"/>
                <w:kern w:val="0"/>
                <w:sz w:val="22"/>
                <w:szCs w:val="22"/>
              </w:rPr>
              <w:t xml:space="preserve">    2.本套报表金额单位转换时可能存在尾数误差。</w:t>
            </w:r>
          </w:p>
        </w:tc>
      </w:tr>
    </w:tbl>
    <w:p>
      <w:pPr>
        <w:widowControl/>
        <w:jc w:val="left"/>
        <w:rPr>
          <w:rFonts w:ascii="Arial" w:cs="Arial" w:hAnsi="Arial"/>
          <w:color w:val="000000"/>
          <w:kern w:val="0"/>
          <w:sz w:val="20"/>
          <w:szCs w:val="20"/>
        </w:rPr>
        <w:sectPr>
          <w:pgSz w:w="16840" w:h="11907" w:orient="landscape"/>
          <w:pgMar w:top="1134" w:right="1440" w:bottom="1134" w:left="1440" w:header="851" w:footer="992" w:gutter="0"/>
          <w:docGrid w:type="linesAndChars" w:linePitch="312" w:charSpace="0"/>
        </w:sectPr>
      </w:pPr>
    </w:p>
    <w:tbl>
      <w:tblPr>
        <w:jc w:val="left"/>
        <w:tblW w:w="5038" w:type="pct"/>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694"/>
        <w:gridCol w:w="123"/>
        <w:gridCol w:w="2694"/>
        <w:gridCol w:w="257"/>
        <w:gridCol w:w="977"/>
        <w:gridCol w:w="691"/>
        <w:gridCol w:w="203"/>
        <w:gridCol w:w="1920"/>
        <w:gridCol w:w="788"/>
        <w:gridCol w:w="129"/>
        <w:gridCol w:w="563"/>
        <w:gridCol w:w="289"/>
        <w:gridCol w:w="3551"/>
        <w:gridCol w:w="1411"/>
      </w:tblGrid>
      <w:tr>
        <w:trPr>
          <w:trHeight w:val="390"/>
        </w:trPr>
        <w:tc>
          <w:tcPr>
            <w:tcW w:w="5000" w:type="pct"/>
            <w:gridSpan w:val="14"/>
            <w:tcBorders>
              <w:top w:val="nil"/>
              <w:left w:val="nil"/>
              <w:bottom w:val="nil"/>
              <w:right w:val="nil"/>
            </w:tcBorders>
            <w:shd w:val="clear" w:color="auto" w:fill="auto"/>
            <w:noWrap/>
            <w:vAlign w:val="bottom"/>
          </w:tcPr>
          <w:p>
            <w:pPr>
              <w:widowControl/>
              <w:jc w:val="center"/>
              <w:rPr>
                <w:rFonts w:ascii="宋体" w:cs="Arial"/>
                <w:color w:val="000000"/>
                <w:kern w:val="0"/>
                <w:sz w:val="30"/>
                <w:szCs w:val="30"/>
              </w:rPr>
            </w:pPr>
            <w:r>
              <w:rPr>
                <w:rFonts w:ascii="宋体" w:cs="Arial" w:hint="eastAsia"/>
                <w:color w:val="000000"/>
                <w:kern w:val="0"/>
                <w:sz w:val="30"/>
                <w:szCs w:val="30"/>
              </w:rPr>
              <w:t>一般公共预算财政拨款基本支出决算明细表</w:t>
            </w:r>
          </w:p>
        </w:tc>
      </w:tr>
      <w:tr>
        <w:trPr>
          <w:trHeight w:val="255"/>
        </w:trPr>
        <w:tc>
          <w:tcPr>
            <w:tcW w:w="243"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76" w:type="pct"/>
            <w:gridSpan w:val="3"/>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42"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42"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42"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76"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42"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343"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94" w:type="pct"/>
            <w:tcBorders>
              <w:top w:val="nil"/>
              <w:left w:val="nil"/>
              <w:bottom w:val="nil"/>
              <w:right w:val="nil"/>
            </w:tcBorders>
            <w:shd w:val="clear" w:color="auto" w:fill="auto"/>
            <w:noWrap/>
            <w:vAlign w:val="bottom"/>
          </w:tcPr>
          <w:p>
            <w:pPr>
              <w:widowControl/>
              <w:jc w:val="right"/>
              <w:rPr>
                <w:rFonts w:ascii="宋体" w:cs="Arial"/>
                <w:color w:val="000000"/>
                <w:kern w:val="0"/>
                <w:sz w:val="18"/>
                <w:szCs w:val="18"/>
              </w:rPr>
            </w:pPr>
            <w:r>
              <w:rPr>
                <w:rFonts w:ascii="宋体" w:cs="Arial" w:hint="eastAsia"/>
                <w:color w:val="000000"/>
                <w:kern w:val="0"/>
                <w:sz w:val="18"/>
                <w:szCs w:val="18"/>
              </w:rPr>
              <w:t>公开06表</w:t>
            </w:r>
          </w:p>
        </w:tc>
      </w:tr>
      <w:tr>
        <w:trPr>
          <w:trHeight w:val="255"/>
        </w:trPr>
        <w:tc>
          <w:tcPr>
            <w:tcW w:w="1318" w:type="pct"/>
            <w:gridSpan w:val="4"/>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部门：重庆江北机场海关</w:t>
            </w:r>
          </w:p>
        </w:tc>
        <w:tc>
          <w:tcPr>
            <w:tcW w:w="342"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42"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42"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76"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42"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343" w:type="pct"/>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94" w:type="pct"/>
            <w:tcBorders>
              <w:top w:val="nil"/>
              <w:left w:val="nil"/>
              <w:bottom w:val="nil"/>
              <w:right w:val="nil"/>
            </w:tcBorders>
            <w:shd w:val="clear" w:color="auto" w:fill="auto"/>
            <w:noWrap/>
            <w:vAlign w:val="bottom"/>
          </w:tcPr>
          <w:p>
            <w:pPr>
              <w:widowControl/>
              <w:jc w:val="right"/>
              <w:rPr>
                <w:rFonts w:ascii="宋体" w:cs="Arial"/>
                <w:color w:val="000000"/>
                <w:kern w:val="0"/>
                <w:sz w:val="18"/>
                <w:szCs w:val="18"/>
              </w:rPr>
            </w:pPr>
            <w:r>
              <w:rPr>
                <w:rFonts w:ascii="宋体" w:cs="Arial" w:hint="eastAsia"/>
                <w:color w:val="000000"/>
                <w:kern w:val="0"/>
                <w:sz w:val="18"/>
                <w:szCs w:val="18"/>
              </w:rPr>
              <w:t>金额单位：万元</w:t>
            </w:r>
          </w:p>
        </w:tc>
      </w:tr>
      <w:tr>
        <w:trPr>
          <w:trHeight w:val="308"/>
        </w:trPr>
        <w:tc>
          <w:tcPr>
            <w:tcW w:w="1661" w:type="pct"/>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人员经费</w:t>
            </w:r>
          </w:p>
        </w:tc>
        <w:tc>
          <w:tcPr>
            <w:tcW w:w="3339" w:type="pct"/>
            <w:gridSpan w:val="9"/>
            <w:tcBorders>
              <w:top w:val="single" w:sz="4" w:space="0" w:color="000000"/>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公用经费</w:t>
            </w:r>
          </w:p>
        </w:tc>
      </w:tr>
      <w:tr>
        <w:trPr>
          <w:trHeight w:val="312"/>
        </w:trPr>
        <w:tc>
          <w:tcPr>
            <w:tcW w:w="286" w:type="pct"/>
            <w:gridSpan w:val="2"/>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科目代码</w:t>
            </w:r>
          </w:p>
        </w:tc>
        <w:tc>
          <w:tcPr>
            <w:tcW w:w="943"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432" w:type="pct"/>
            <w:gridSpan w:val="2"/>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c>
          <w:tcPr>
            <w:tcW w:w="313" w:type="pct"/>
            <w:gridSpan w:val="2"/>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科目代码</w:t>
            </w:r>
          </w:p>
        </w:tc>
        <w:tc>
          <w:tcPr>
            <w:tcW w:w="672"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321" w:type="pct"/>
            <w:gridSpan w:val="2"/>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c>
          <w:tcPr>
            <w:tcW w:w="298" w:type="pct"/>
            <w:gridSpan w:val="2"/>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科目代码</w:t>
            </w:r>
          </w:p>
        </w:tc>
        <w:tc>
          <w:tcPr>
            <w:tcW w:w="1243"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494"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r>
      <w:tr>
        <w:trPr>
          <w:trHeight w:val="312"/>
        </w:trPr>
        <w:tc>
          <w:tcPr>
            <w:tcW w:w="286" w:type="pct"/>
            <w:gridSpan w:val="2"/>
            <w:vMerge/>
            <w:tcBorders>
              <w:top w:val="nil"/>
              <w:left w:val="single" w:sz="4" w:space="0" w:color="000000"/>
              <w:bottom w:val="single" w:sz="4" w:space="0" w:color="000000"/>
              <w:right w:val="single" w:sz="4" w:space="0" w:color="000000"/>
            </w:tcBorders>
            <w:vAlign w:val="center"/>
          </w:tcPr>
          <w:p/>
        </w:tc>
        <w:tc>
          <w:tcPr>
            <w:tcW w:w="943" w:type="pct"/>
            <w:vMerge/>
            <w:tcBorders>
              <w:top w:val="nil"/>
              <w:left w:val="nil"/>
              <w:bottom w:val="single" w:sz="4" w:space="0" w:color="000000"/>
              <w:right w:val="single" w:sz="4" w:space="0" w:color="000000"/>
            </w:tcBorders>
            <w:vAlign w:val="center"/>
          </w:tcPr>
          <w:p/>
        </w:tc>
        <w:tc>
          <w:tcPr>
            <w:tcW w:w="432" w:type="pct"/>
            <w:gridSpan w:val="2"/>
            <w:vMerge/>
            <w:tcBorders>
              <w:top w:val="nil"/>
              <w:left w:val="nil"/>
              <w:bottom w:val="single" w:sz="4" w:space="0" w:color="000000"/>
              <w:right w:val="single" w:sz="4" w:space="0" w:color="000000"/>
            </w:tcBorders>
            <w:vAlign w:val="center"/>
          </w:tcPr>
          <w:p/>
        </w:tc>
        <w:tc>
          <w:tcPr>
            <w:tcW w:w="313" w:type="pct"/>
            <w:gridSpan w:val="2"/>
            <w:vMerge/>
            <w:tcBorders>
              <w:top w:val="nil"/>
              <w:left w:val="nil"/>
              <w:bottom w:val="single" w:sz="4" w:space="0" w:color="000000"/>
              <w:right w:val="single" w:sz="4" w:space="0" w:color="000000"/>
            </w:tcBorders>
            <w:vAlign w:val="center"/>
          </w:tcPr>
          <w:p/>
        </w:tc>
        <w:tc>
          <w:tcPr>
            <w:tcW w:w="672" w:type="pct"/>
            <w:vMerge/>
            <w:tcBorders>
              <w:top w:val="nil"/>
              <w:left w:val="nil"/>
              <w:bottom w:val="single" w:sz="4" w:space="0" w:color="000000"/>
              <w:right w:val="single" w:sz="4" w:space="0" w:color="000000"/>
            </w:tcBorders>
            <w:vAlign w:val="center"/>
          </w:tcPr>
          <w:p/>
        </w:tc>
        <w:tc>
          <w:tcPr>
            <w:tcW w:w="321" w:type="pct"/>
            <w:gridSpan w:val="2"/>
            <w:vMerge/>
            <w:tcBorders>
              <w:top w:val="nil"/>
              <w:left w:val="nil"/>
              <w:bottom w:val="single" w:sz="4" w:space="0" w:color="000000"/>
              <w:right w:val="single" w:sz="4" w:space="0" w:color="000000"/>
            </w:tcBorders>
            <w:vAlign w:val="center"/>
          </w:tcPr>
          <w:p/>
        </w:tc>
        <w:tc>
          <w:tcPr>
            <w:tcW w:w="298" w:type="pct"/>
            <w:gridSpan w:val="2"/>
            <w:vMerge/>
            <w:tcBorders>
              <w:top w:val="nil"/>
              <w:left w:val="nil"/>
              <w:bottom w:val="single" w:sz="4" w:space="0" w:color="000000"/>
              <w:right w:val="single" w:sz="4" w:space="0" w:color="000000"/>
            </w:tcBorders>
            <w:vAlign w:val="center"/>
          </w:tcPr>
          <w:p/>
        </w:tc>
        <w:tc>
          <w:tcPr>
            <w:tcW w:w="1243" w:type="pct"/>
            <w:vMerge/>
            <w:tcBorders>
              <w:top w:val="nil"/>
              <w:left w:val="nil"/>
              <w:bottom w:val="single" w:sz="4" w:space="0" w:color="000000"/>
              <w:right w:val="single" w:sz="4" w:space="0" w:color="000000"/>
            </w:tcBorders>
            <w:vAlign w:val="center"/>
          </w:tcPr>
          <w:p/>
        </w:tc>
        <w:tc>
          <w:tcPr>
            <w:tcW w:w="494" w:type="pct"/>
            <w:vMerge/>
            <w:tcBorders>
              <w:top w:val="nil"/>
              <w:left w:val="nil"/>
              <w:bottom w:val="single" w:sz="4" w:space="0" w:color="000000"/>
              <w:right w:val="single" w:sz="4" w:space="0" w:color="000000"/>
            </w:tcBorders>
            <w:vAlign w:val="center"/>
          </w:tcP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工资福利支出</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1,174.81</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商品和服务支出</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360.67</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307</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债务利息及费用支出</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30101</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基本工资</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475.34</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30201</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办公费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14.41</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30701</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国内债务付息</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30102</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津贴补贴</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663.14</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30202</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印刷费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0.71</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30702</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国外债务付息</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30103</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奖金</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36.33</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30203</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咨询费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资本性支出</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15.33</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30106</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伙食补助费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30204</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手续费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0.03</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31001</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房屋建筑物购建</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30107</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绩效工资</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30205</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水费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31002</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办公设备购置</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15.33</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30108</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机关事业单位基本养老保险缴费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30206</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电费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31003</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专用设备购置</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30109</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职业年金缴费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30207</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邮电费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26.58</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31005</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基础设施建设</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30110</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职工基本医疗保险缴费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30208</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取暖费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31006</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大型修缮</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30111</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公务员医疗补助缴费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30209</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物业管理费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1.78</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31007</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信息网络及软件购置更新</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30112</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其他社会保障缴费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30211</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差旅费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1.31</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31008</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物资储备</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30113</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住房公积金</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30212</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因公出国（境）费用</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31009</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土地补偿</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30114</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医疗费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30213</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维修（护）费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5.21</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31010</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安置补助</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30199</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其他工资福利支出</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30214</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租赁费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31011</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地上附着物和青苗补偿</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对个人和家庭的补助</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0.02</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30215</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会议费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31012</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拆迁补偿</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30301</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离休费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30216</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培训费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31013</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公务用车购置</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30302</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退休费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30217</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公务接待费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31019</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其他交通工具购置</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30303</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退职（役）费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30218</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专用材料费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31021</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文物和陈列品购置</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30304</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抚恤金</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30224</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被装购置费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31022</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无形资产购置</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30305</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生活补助</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30225</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专用燃料费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31099</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其他资本性支出</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30306</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救济费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30226</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劳务费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1.90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399</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其他支出</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30307</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医疗费补助</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30227</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委托业务费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70.01</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39907</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国家赔偿费用支出</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30308</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助学金</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30228</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工会经费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65.96</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39908</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对民间非营利组织和群众性自治组织补贴</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30309</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奖励金</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0.01</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30229</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福利费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80.94</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39909</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经常性赠与</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30310</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个人农业生产补贴</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30231</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公务用车运行维护费</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39910</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资本性赠与</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30311</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代缴社会保险费</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30239</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其他交通费用</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83.04</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39999</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其他支出</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30399</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其他对个人和家庭的补助</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30240</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税金及附加费用</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286" w:type="pct"/>
            <w:gridSpan w:val="2"/>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9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13"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30299</w:t>
            </w:r>
          </w:p>
        </w:tc>
        <w:tc>
          <w:tcPr>
            <w:tcW w:w="672"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xml:space="preserve">  其他商品和服务支出</w:t>
            </w:r>
          </w:p>
        </w:tc>
        <w:tc>
          <w:tcPr>
            <w:tcW w:w="321"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7.79</w:t>
            </w:r>
          </w:p>
        </w:tc>
        <w:tc>
          <w:tcPr>
            <w:tcW w:w="298" w:type="pct"/>
            <w:gridSpan w:val="2"/>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243"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229"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人员经费合计</w:t>
            </w:r>
          </w:p>
        </w:tc>
        <w:tc>
          <w:tcPr>
            <w:tcW w:w="432" w:type="pct"/>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1,174.82</w:t>
            </w:r>
          </w:p>
        </w:tc>
        <w:tc>
          <w:tcPr>
            <w:tcW w:w="2845" w:type="pct"/>
            <w:gridSpan w:val="8"/>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公用经费合计</w:t>
            </w:r>
          </w:p>
        </w:tc>
        <w:tc>
          <w:tcPr>
            <w:tcW w:w="49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376.00</w:t>
            </w:r>
          </w:p>
        </w:tc>
      </w:tr>
      <w:tr>
        <w:trPr>
          <w:trHeight w:val="308"/>
        </w:trPr>
        <w:tc>
          <w:tcPr>
            <w:tcW w:w="5000" w:type="pct"/>
            <w:gridSpan w:val="14"/>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注：1.本表反映部门本年度一般公共预算财政拨款基本支出明细情况。</w:t>
            </w:r>
          </w:p>
          <w:p>
            <w:pPr>
              <w:widowControl/>
              <w:jc w:val="left"/>
              <w:rPr>
                <w:rFonts w:ascii="宋体" w:cs="Arial"/>
                <w:color w:val="000000"/>
                <w:kern w:val="0"/>
                <w:sz w:val="22"/>
                <w:szCs w:val="22"/>
              </w:rPr>
            </w:pPr>
            <w:r>
              <w:rPr>
                <w:rFonts w:ascii="宋体" w:cs="Arial" w:hint="eastAsia"/>
                <w:color w:val="000000"/>
                <w:kern w:val="0"/>
                <w:sz w:val="22"/>
                <w:szCs w:val="22"/>
              </w:rPr>
              <w:t xml:space="preserve">    2.本套报表金额单位转换时可能存在尾数误差。</w:t>
            </w:r>
          </w:p>
        </w:tc>
      </w:tr>
    </w:tbl>
    <w:p>
      <w:pPr>
        <w:widowControl/>
        <w:jc w:val="left"/>
        <w:rPr>
          <w:rFonts w:ascii="Arial" w:cs="Arial" w:hAnsi="Arial"/>
          <w:color w:val="000000"/>
          <w:kern w:val="0"/>
          <w:sz w:val="20"/>
          <w:szCs w:val="20"/>
        </w:rPr>
        <w:sectPr>
          <w:pgSz w:w="16840" w:h="11907" w:orient="landscape"/>
          <w:pgMar w:top="1134" w:right="1440" w:bottom="1134" w:left="1440" w:header="851" w:footer="992" w:gutter="0"/>
          <w:docGrid w:type="linesAndChars" w:linePitch="312" w:charSpace="0"/>
        </w:sectPr>
      </w:pPr>
    </w:p>
    <w:tbl>
      <w:tblPr>
        <w:jc w:val="left"/>
        <w:tblW w:w="500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236"/>
        <w:gridCol w:w="236"/>
        <w:gridCol w:w="236"/>
        <w:gridCol w:w="1806"/>
        <w:gridCol w:w="1764"/>
        <w:gridCol w:w="1764"/>
        <w:gridCol w:w="1764"/>
        <w:gridCol w:w="1764"/>
        <w:gridCol w:w="1764"/>
        <w:gridCol w:w="2841"/>
      </w:tblGrid>
      <w:tr>
        <w:trPr>
          <w:trHeight w:val="390"/>
        </w:trPr>
        <w:tc>
          <w:tcPr>
            <w:tcW w:w="5000" w:type="pct"/>
            <w:gridSpan w:val="10"/>
            <w:tcBorders>
              <w:top w:val="nil"/>
              <w:left w:val="nil"/>
              <w:bottom w:val="nil"/>
              <w:right w:val="nil"/>
            </w:tcBorders>
            <w:shd w:val="clear" w:color="auto" w:fill="auto"/>
            <w:noWrap/>
            <w:vAlign w:val="bottom"/>
          </w:tcPr>
          <w:p>
            <w:pPr>
              <w:widowControl/>
              <w:jc w:val="center"/>
              <w:rPr>
                <w:rFonts w:ascii="宋体" w:cs="Arial"/>
                <w:color w:val="000000"/>
                <w:kern w:val="0"/>
                <w:sz w:val="30"/>
                <w:szCs w:val="30"/>
              </w:rPr>
            </w:pPr>
            <w:r>
              <w:rPr>
                <w:rFonts w:ascii="宋体" w:cs="Arial" w:hint="eastAsia"/>
                <w:color w:val="000000"/>
                <w:kern w:val="0"/>
                <w:sz w:val="30"/>
                <w:szCs w:val="30"/>
              </w:rPr>
              <w:t>政府性基金预算财政拨款收入支出决算表</w:t>
            </w:r>
          </w:p>
        </w:tc>
      </w:tr>
      <w:tr>
        <w:trPr>
          <w:trHeight w:val="255"/>
        </w:trPr>
        <w:tc>
          <w:tcPr>
            <w:tcW w:w="79"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9"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9"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39"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2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2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2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2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2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05" w:type="pct"/>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公开07表</w:t>
            </w:r>
          </w:p>
        </w:tc>
      </w:tr>
      <w:tr>
        <w:trPr>
          <w:trHeight w:val="255"/>
        </w:trPr>
        <w:tc>
          <w:tcPr>
            <w:tcW w:w="875" w:type="pct"/>
            <w:gridSpan w:val="4"/>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部门：重庆江北机场海关</w:t>
            </w:r>
          </w:p>
        </w:tc>
        <w:tc>
          <w:tcPr>
            <w:tcW w:w="62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2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2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2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2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05" w:type="pct"/>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875"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624"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年初结转和结余</w:t>
            </w:r>
          </w:p>
        </w:tc>
        <w:tc>
          <w:tcPr>
            <w:tcW w:w="624"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本年收入</w:t>
            </w:r>
          </w:p>
        </w:tc>
        <w:tc>
          <w:tcPr>
            <w:tcW w:w="1872" w:type="pct"/>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w:t>
            </w:r>
          </w:p>
        </w:tc>
        <w:tc>
          <w:tcPr>
            <w:tcW w:w="1005" w:type="pct"/>
            <w:vMerge w:val="restart"/>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年末结转和结余</w:t>
            </w:r>
          </w:p>
        </w:tc>
      </w:tr>
      <w:tr>
        <w:trPr>
          <w:trHeight w:val="312"/>
        </w:trPr>
        <w:tc>
          <w:tcPr>
            <w:tcW w:w="237" w:type="pct"/>
            <w:gridSpan w:val="3"/>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科目代码</w:t>
            </w:r>
          </w:p>
        </w:tc>
        <w:tc>
          <w:tcPr>
            <w:tcW w:w="639" w:type="pct"/>
            <w:vMerge w:val="restar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624" w:type="pct"/>
            <w:vMerge/>
            <w:tcBorders>
              <w:top w:val="single" w:sz="4" w:space="0" w:color="000000"/>
              <w:left w:val="nil"/>
              <w:bottom w:val="single" w:sz="4" w:space="0" w:color="000000"/>
              <w:right w:val="single" w:sz="4" w:space="0" w:color="000000"/>
            </w:tcBorders>
            <w:vAlign w:val="center"/>
          </w:tcPr>
          <w:p/>
        </w:tc>
        <w:tc>
          <w:tcPr>
            <w:tcW w:w="624" w:type="pct"/>
            <w:vMerge/>
            <w:tcBorders>
              <w:top w:val="single" w:sz="4" w:space="0" w:color="000000"/>
              <w:left w:val="nil"/>
              <w:bottom w:val="single" w:sz="4" w:space="0" w:color="000000"/>
              <w:right w:val="single" w:sz="4" w:space="0" w:color="000000"/>
            </w:tcBorders>
            <w:vAlign w:val="center"/>
          </w:tcPr>
          <w:p/>
        </w:tc>
        <w:tc>
          <w:tcPr>
            <w:tcW w:w="624"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624"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624"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c>
          <w:tcPr>
            <w:tcW w:w="1005" w:type="pct"/>
            <w:vMerge/>
            <w:tcBorders>
              <w:top w:val="single" w:sz="4" w:space="0" w:color="000000"/>
              <w:left w:val="nil"/>
              <w:bottom w:val="single" w:sz="4" w:space="0" w:color="000000"/>
              <w:right w:val="single" w:sz="4" w:space="0" w:color="000000"/>
            </w:tcBorders>
            <w:vAlign w:val="center"/>
          </w:tcPr>
          <w:p/>
        </w:tc>
      </w:tr>
      <w:tr>
        <w:trPr>
          <w:trHeight w:val="312"/>
        </w:trPr>
        <w:tc>
          <w:tcPr>
            <w:tcW w:w="237" w:type="pct"/>
            <w:gridSpan w:val="3"/>
            <w:vMerge/>
            <w:tcBorders>
              <w:top w:val="nil"/>
              <w:left w:val="single" w:sz="4" w:space="0" w:color="000000"/>
              <w:bottom w:val="single" w:sz="4" w:space="0" w:color="000000"/>
              <w:right w:val="single" w:sz="4" w:space="0" w:color="000000"/>
            </w:tcBorders>
            <w:vAlign w:val="center"/>
          </w:tcPr>
          <w:p/>
        </w:tc>
        <w:tc>
          <w:tcPr>
            <w:tcW w:w="639" w:type="pct"/>
            <w:vMerge/>
            <w:tcBorders>
              <w:top w:val="nil"/>
              <w:left w:val="nil"/>
              <w:bottom w:val="single" w:sz="4" w:space="0" w:color="000000"/>
              <w:right w:val="single" w:sz="4" w:space="0" w:color="000000"/>
            </w:tcBorders>
            <w:vAlign w:val="center"/>
          </w:tcPr>
          <w:p/>
        </w:tc>
        <w:tc>
          <w:tcPr>
            <w:tcW w:w="624" w:type="pct"/>
            <w:vMerge/>
            <w:tcBorders>
              <w:top w:val="single" w:sz="4" w:space="0" w:color="000000"/>
              <w:left w:val="nil"/>
              <w:bottom w:val="single" w:sz="4" w:space="0" w:color="000000"/>
              <w:right w:val="single" w:sz="4" w:space="0" w:color="000000"/>
            </w:tcBorders>
            <w:vAlign w:val="center"/>
          </w:tcPr>
          <w:p/>
        </w:tc>
        <w:tc>
          <w:tcPr>
            <w:tcW w:w="624" w:type="pct"/>
            <w:vMerge/>
            <w:tcBorders>
              <w:top w:val="single" w:sz="4" w:space="0" w:color="000000"/>
              <w:left w:val="nil"/>
              <w:bottom w:val="single" w:sz="4" w:space="0" w:color="000000"/>
              <w:right w:val="single" w:sz="4" w:space="0" w:color="000000"/>
            </w:tcBorders>
            <w:vAlign w:val="center"/>
          </w:tcPr>
          <w:p/>
        </w:tc>
        <w:tc>
          <w:tcPr>
            <w:tcW w:w="624" w:type="pct"/>
            <w:vMerge/>
            <w:tcBorders>
              <w:top w:val="nil"/>
              <w:left w:val="nil"/>
              <w:bottom w:val="single" w:sz="4" w:space="0" w:color="000000"/>
              <w:right w:val="single" w:sz="4" w:space="0" w:color="000000"/>
            </w:tcBorders>
            <w:vAlign w:val="center"/>
          </w:tcPr>
          <w:p/>
        </w:tc>
        <w:tc>
          <w:tcPr>
            <w:tcW w:w="624" w:type="pct"/>
            <w:vMerge/>
            <w:tcBorders>
              <w:top w:val="nil"/>
              <w:left w:val="nil"/>
              <w:bottom w:val="single" w:sz="4" w:space="0" w:color="000000"/>
              <w:right w:val="single" w:sz="4" w:space="0" w:color="000000"/>
            </w:tcBorders>
            <w:vAlign w:val="center"/>
          </w:tcPr>
          <w:p/>
        </w:tc>
        <w:tc>
          <w:tcPr>
            <w:tcW w:w="624" w:type="pct"/>
            <w:vMerge/>
            <w:tcBorders>
              <w:top w:val="nil"/>
              <w:left w:val="nil"/>
              <w:bottom w:val="single" w:sz="4" w:space="0" w:color="000000"/>
              <w:right w:val="single" w:sz="4" w:space="0" w:color="000000"/>
            </w:tcBorders>
            <w:vAlign w:val="center"/>
          </w:tcPr>
          <w:p/>
        </w:tc>
        <w:tc>
          <w:tcPr>
            <w:tcW w:w="1005" w:type="pct"/>
            <w:vMerge/>
            <w:tcBorders>
              <w:top w:val="single" w:sz="4" w:space="0" w:color="000000"/>
              <w:left w:val="nil"/>
              <w:bottom w:val="single" w:sz="4" w:space="0" w:color="000000"/>
              <w:right w:val="single" w:sz="4" w:space="0" w:color="000000"/>
            </w:tcBorders>
            <w:vAlign w:val="center"/>
          </w:tcPr>
          <w:p/>
        </w:tc>
      </w:tr>
      <w:tr>
        <w:trPr>
          <w:trHeight w:val="312"/>
        </w:trPr>
        <w:tc>
          <w:tcPr>
            <w:tcW w:w="237" w:type="pct"/>
            <w:gridSpan w:val="3"/>
            <w:vMerge/>
            <w:tcBorders>
              <w:top w:val="nil"/>
              <w:left w:val="single" w:sz="4" w:space="0" w:color="000000"/>
              <w:bottom w:val="single" w:sz="4" w:space="0" w:color="000000"/>
              <w:right w:val="single" w:sz="4" w:space="0" w:color="000000"/>
            </w:tcBorders>
            <w:vAlign w:val="center"/>
          </w:tcPr>
          <w:p/>
        </w:tc>
        <w:tc>
          <w:tcPr>
            <w:tcW w:w="639" w:type="pct"/>
            <w:vMerge/>
            <w:tcBorders>
              <w:top w:val="nil"/>
              <w:left w:val="nil"/>
              <w:bottom w:val="single" w:sz="4" w:space="0" w:color="000000"/>
              <w:right w:val="single" w:sz="4" w:space="0" w:color="000000"/>
            </w:tcBorders>
            <w:vAlign w:val="center"/>
          </w:tcPr>
          <w:p/>
        </w:tc>
        <w:tc>
          <w:tcPr>
            <w:tcW w:w="624" w:type="pct"/>
            <w:vMerge/>
            <w:tcBorders>
              <w:top w:val="single" w:sz="4" w:space="0" w:color="000000"/>
              <w:left w:val="nil"/>
              <w:bottom w:val="single" w:sz="4" w:space="0" w:color="000000"/>
              <w:right w:val="single" w:sz="4" w:space="0" w:color="000000"/>
            </w:tcBorders>
            <w:vAlign w:val="center"/>
          </w:tcPr>
          <w:p/>
        </w:tc>
        <w:tc>
          <w:tcPr>
            <w:tcW w:w="624" w:type="pct"/>
            <w:vMerge/>
            <w:tcBorders>
              <w:top w:val="single" w:sz="4" w:space="0" w:color="000000"/>
              <w:left w:val="nil"/>
              <w:bottom w:val="single" w:sz="4" w:space="0" w:color="000000"/>
              <w:right w:val="single" w:sz="4" w:space="0" w:color="000000"/>
            </w:tcBorders>
            <w:vAlign w:val="center"/>
          </w:tcPr>
          <w:p/>
        </w:tc>
        <w:tc>
          <w:tcPr>
            <w:tcW w:w="624" w:type="pct"/>
            <w:vMerge/>
            <w:tcBorders>
              <w:top w:val="nil"/>
              <w:left w:val="nil"/>
              <w:bottom w:val="single" w:sz="4" w:space="0" w:color="000000"/>
              <w:right w:val="single" w:sz="4" w:space="0" w:color="000000"/>
            </w:tcBorders>
            <w:vAlign w:val="center"/>
          </w:tcPr>
          <w:p/>
        </w:tc>
        <w:tc>
          <w:tcPr>
            <w:tcW w:w="624" w:type="pct"/>
            <w:vMerge/>
            <w:tcBorders>
              <w:top w:val="nil"/>
              <w:left w:val="nil"/>
              <w:bottom w:val="single" w:sz="4" w:space="0" w:color="000000"/>
              <w:right w:val="single" w:sz="4" w:space="0" w:color="000000"/>
            </w:tcBorders>
            <w:vAlign w:val="center"/>
          </w:tcPr>
          <w:p/>
        </w:tc>
        <w:tc>
          <w:tcPr>
            <w:tcW w:w="624" w:type="pct"/>
            <w:vMerge/>
            <w:tcBorders>
              <w:top w:val="nil"/>
              <w:left w:val="nil"/>
              <w:bottom w:val="single" w:sz="4" w:space="0" w:color="000000"/>
              <w:right w:val="single" w:sz="4" w:space="0" w:color="000000"/>
            </w:tcBorders>
            <w:vAlign w:val="center"/>
          </w:tcPr>
          <w:p/>
        </w:tc>
        <w:tc>
          <w:tcPr>
            <w:tcW w:w="1005" w:type="pct"/>
            <w:vMerge/>
            <w:tcBorders>
              <w:top w:val="single" w:sz="4" w:space="0" w:color="000000"/>
              <w:left w:val="nil"/>
              <w:bottom w:val="single" w:sz="4" w:space="0" w:color="000000"/>
              <w:right w:val="single" w:sz="4" w:space="0" w:color="000000"/>
            </w:tcBorders>
            <w:vAlign w:val="center"/>
          </w:tcPr>
          <w:p/>
        </w:tc>
      </w:tr>
      <w:tr>
        <w:trPr>
          <w:trHeight w:val="308"/>
        </w:trPr>
        <w:tc>
          <w:tcPr>
            <w:tcW w:w="875" w:type="pct"/>
            <w:gridSpan w:val="4"/>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005" w:type="pc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r>
      <w:tr>
        <w:trPr>
          <w:trHeight w:val="308"/>
        </w:trPr>
        <w:tc>
          <w:tcPr>
            <w:tcW w:w="875" w:type="pct"/>
            <w:gridSpan w:val="4"/>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100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r>
      <w:tr>
        <w:trPr>
          <w:trHeight w:val="308"/>
        </w:trPr>
        <w:tc>
          <w:tcPr>
            <w:tcW w:w="237"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39"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00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237"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39"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00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237"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39"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00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237"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39"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00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237"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39"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00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237" w:type="pct"/>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39" w:type="pct"/>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2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005"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5000" w:type="pct"/>
            <w:gridSpan w:val="10"/>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注：1.本表反映部门本年度政府性基金预算财政拨款收入、支出及结转和结余情况。</w:t>
            </w:r>
          </w:p>
        </w:tc>
      </w:tr>
    </w:tbl>
    <w:p>
      <w:pPr>
        <w:rPr>
          <w:rFonts w:ascii="宋体" w:cs="Arial"/>
          <w:color w:val="000000"/>
          <w:kern w:val="0"/>
          <w:sz w:val="22"/>
          <w:szCs w:val="22"/>
        </w:rPr>
      </w:pPr>
      <w:r>
        <w:rPr>
          <w:rFonts w:ascii="宋体" w:cs="Arial" w:hint="eastAsia"/>
          <w:color w:val="000000"/>
          <w:kern w:val="0"/>
          <w:sz w:val="22"/>
          <w:szCs w:val="22"/>
        </w:rPr>
        <w:t xml:space="preserve">    2.重庆江北机场海关没有政府性基金收入，也没有使用政府性基金安排的支出，故本表无数据。</w:t>
      </w:r>
    </w:p>
    <w:p>
      <w:pPr>
        <w:widowControl/>
        <w:jc w:val="left"/>
        <w:rPr>
          <w:rFonts w:ascii="Arial" w:cs="Arial" w:hAnsi="Arial"/>
          <w:color w:val="000000"/>
          <w:kern w:val="0"/>
          <w:sz w:val="20"/>
          <w:szCs w:val="20"/>
        </w:rPr>
        <w:sectPr>
          <w:pgSz w:w="16840" w:h="11907" w:orient="landscape"/>
          <w:pgMar w:top="1134" w:right="1440" w:bottom="1134" w:left="1440" w:header="851" w:footer="992" w:gutter="0"/>
          <w:docGrid w:type="linesAndChars" w:linePitch="312" w:charSpace="0"/>
        </w:sectPr>
      </w:pPr>
    </w:p>
    <w:tbl>
      <w:tblPr>
        <w:jc w:val="left"/>
        <w:tblInd w:w="93" w:type="dxa"/>
        <w:tblW w:w="13623"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222"/>
        <w:gridCol w:w="222"/>
        <w:gridCol w:w="222"/>
        <w:gridCol w:w="2893"/>
        <w:gridCol w:w="1271"/>
        <w:gridCol w:w="2143"/>
        <w:gridCol w:w="6650"/>
      </w:tblGrid>
      <w:tr>
        <w:trPr>
          <w:trHeight w:val="390"/>
        </w:trPr>
        <w:tc>
          <w:tcPr>
            <w:tcW w:w="13623" w:type="dxa"/>
            <w:gridSpan w:val="7"/>
            <w:tcBorders>
              <w:top w:val="nil"/>
              <w:left w:val="nil"/>
              <w:bottom w:val="nil"/>
              <w:right w:val="nil"/>
            </w:tcBorders>
            <w:shd w:val="clear" w:color="auto" w:fill="auto"/>
            <w:noWrap/>
            <w:vAlign w:val="bottom"/>
          </w:tcPr>
          <w:p>
            <w:pPr>
              <w:widowControl/>
              <w:jc w:val="center"/>
              <w:rPr>
                <w:rFonts w:ascii="宋体" w:cs="Arial"/>
                <w:color w:val="000000"/>
                <w:kern w:val="0"/>
                <w:sz w:val="30"/>
                <w:szCs w:val="30"/>
              </w:rPr>
            </w:pPr>
            <w:r>
              <w:rPr>
                <w:rFonts w:ascii="宋体" w:cs="Arial" w:hint="eastAsia"/>
                <w:color w:val="000000"/>
                <w:kern w:val="0"/>
                <w:sz w:val="30"/>
                <w:szCs w:val="30"/>
              </w:rPr>
              <w:t>国有资本经营预算财政拨款支出决算表</w:t>
            </w:r>
          </w:p>
        </w:tc>
      </w:tr>
      <w:tr>
        <w:trPr>
          <w:trHeight w:val="255"/>
        </w:trPr>
        <w:tc>
          <w:tcPr>
            <w:tcW w:w="222"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22"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22"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89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71"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14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650"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公开08表</w:t>
            </w:r>
          </w:p>
        </w:tc>
      </w:tr>
      <w:tr>
        <w:trPr>
          <w:trHeight w:val="255"/>
        </w:trPr>
        <w:tc>
          <w:tcPr>
            <w:tcW w:w="3559" w:type="dxa"/>
            <w:gridSpan w:val="4"/>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部门：重庆江北机场海关</w:t>
            </w:r>
          </w:p>
        </w:tc>
        <w:tc>
          <w:tcPr>
            <w:tcW w:w="1271"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14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650"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3559"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10064"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w:t>
            </w:r>
          </w:p>
        </w:tc>
      </w:tr>
      <w:tr>
        <w:trPr>
          <w:trHeight w:val="312"/>
        </w:trPr>
        <w:tc>
          <w:tcPr>
            <w:tcW w:w="666" w:type="dxa"/>
            <w:gridSpan w:val="3"/>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科目代码</w:t>
            </w:r>
          </w:p>
        </w:tc>
        <w:tc>
          <w:tcPr>
            <w:tcW w:w="2893" w:type="dxa"/>
            <w:vMerge w:val="restart"/>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271" w:type="dxa"/>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2143" w:type="dxa"/>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6650" w:type="dxa"/>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r>
      <w:tr>
        <w:trPr>
          <w:trHeight w:val="312"/>
        </w:trPr>
        <w:tc>
          <w:tcPr>
            <w:tcW w:w="666" w:type="dxa"/>
            <w:gridSpan w:val="3"/>
            <w:vMerge/>
            <w:tcBorders>
              <w:top w:val="nil"/>
              <w:left w:val="single" w:sz="4" w:space="0" w:color="000000"/>
              <w:bottom w:val="single" w:sz="4" w:space="0" w:color="000000"/>
              <w:right w:val="single" w:sz="4" w:space="0" w:color="000000"/>
            </w:tcBorders>
            <w:vAlign w:val="center"/>
          </w:tcPr>
          <w:p/>
        </w:tc>
        <w:tc>
          <w:tcPr>
            <w:tcW w:w="2893" w:type="dxa"/>
            <w:vMerge/>
            <w:tcBorders>
              <w:top w:val="nil"/>
              <w:left w:val="nil"/>
              <w:bottom w:val="single" w:sz="4" w:space="0" w:color="000000"/>
              <w:right w:val="single" w:sz="4" w:space="0" w:color="000000"/>
            </w:tcBorders>
            <w:vAlign w:val="center"/>
          </w:tcPr>
          <w:p/>
        </w:tc>
        <w:tc>
          <w:tcPr>
            <w:tcW w:w="1271" w:type="dxa"/>
            <w:vMerge/>
            <w:tcBorders>
              <w:top w:val="nil"/>
              <w:left w:val="nil"/>
              <w:bottom w:val="single" w:sz="4" w:space="0" w:color="000000"/>
              <w:right w:val="single" w:sz="4" w:space="0" w:color="000000"/>
            </w:tcBorders>
            <w:vAlign w:val="center"/>
          </w:tcPr>
          <w:p/>
        </w:tc>
        <w:tc>
          <w:tcPr>
            <w:tcW w:w="2143" w:type="dxa"/>
            <w:vMerge/>
            <w:tcBorders>
              <w:top w:val="nil"/>
              <w:left w:val="nil"/>
              <w:bottom w:val="single" w:sz="4" w:space="0" w:color="000000"/>
              <w:right w:val="single" w:sz="4" w:space="0" w:color="000000"/>
            </w:tcBorders>
            <w:vAlign w:val="center"/>
          </w:tcPr>
          <w:p/>
        </w:tc>
        <w:tc>
          <w:tcPr>
            <w:tcW w:w="6650" w:type="dxa"/>
            <w:vMerge/>
            <w:tcBorders>
              <w:top w:val="nil"/>
              <w:left w:val="nil"/>
              <w:bottom w:val="single" w:sz="4" w:space="0" w:color="000000"/>
              <w:right w:val="single" w:sz="4" w:space="0" w:color="000000"/>
            </w:tcBorders>
            <w:vAlign w:val="center"/>
          </w:tcPr>
          <w:p/>
        </w:tc>
      </w:tr>
      <w:tr>
        <w:trPr>
          <w:trHeight w:val="312"/>
        </w:trPr>
        <w:tc>
          <w:tcPr>
            <w:tcW w:w="666" w:type="dxa"/>
            <w:gridSpan w:val="3"/>
            <w:vMerge/>
            <w:tcBorders>
              <w:top w:val="nil"/>
              <w:left w:val="single" w:sz="4" w:space="0" w:color="000000"/>
              <w:bottom w:val="single" w:sz="4" w:space="0" w:color="000000"/>
              <w:right w:val="single" w:sz="4" w:space="0" w:color="000000"/>
            </w:tcBorders>
            <w:vAlign w:val="center"/>
          </w:tcPr>
          <w:p/>
        </w:tc>
        <w:tc>
          <w:tcPr>
            <w:tcW w:w="2893" w:type="dxa"/>
            <w:vMerge/>
            <w:tcBorders>
              <w:top w:val="nil"/>
              <w:left w:val="nil"/>
              <w:bottom w:val="single" w:sz="4" w:space="0" w:color="000000"/>
              <w:right w:val="single" w:sz="4" w:space="0" w:color="000000"/>
            </w:tcBorders>
            <w:vAlign w:val="center"/>
          </w:tcPr>
          <w:p/>
        </w:tc>
        <w:tc>
          <w:tcPr>
            <w:tcW w:w="1271" w:type="dxa"/>
            <w:vMerge/>
            <w:tcBorders>
              <w:top w:val="nil"/>
              <w:left w:val="nil"/>
              <w:bottom w:val="single" w:sz="4" w:space="0" w:color="000000"/>
              <w:right w:val="single" w:sz="4" w:space="0" w:color="000000"/>
            </w:tcBorders>
            <w:vAlign w:val="center"/>
          </w:tcPr>
          <w:p/>
        </w:tc>
        <w:tc>
          <w:tcPr>
            <w:tcW w:w="2143" w:type="dxa"/>
            <w:vMerge/>
            <w:tcBorders>
              <w:top w:val="nil"/>
              <w:left w:val="nil"/>
              <w:bottom w:val="single" w:sz="4" w:space="0" w:color="000000"/>
              <w:right w:val="single" w:sz="4" w:space="0" w:color="000000"/>
            </w:tcBorders>
            <w:vAlign w:val="center"/>
          </w:tcPr>
          <w:p/>
        </w:tc>
        <w:tc>
          <w:tcPr>
            <w:tcW w:w="6650" w:type="dxa"/>
            <w:vMerge/>
            <w:tcBorders>
              <w:top w:val="nil"/>
              <w:left w:val="nil"/>
              <w:bottom w:val="single" w:sz="4" w:space="0" w:color="000000"/>
              <w:right w:val="single" w:sz="4" w:space="0" w:color="000000"/>
            </w:tcBorders>
            <w:vAlign w:val="center"/>
          </w:tcPr>
          <w:p/>
        </w:tc>
      </w:tr>
      <w:tr>
        <w:trPr>
          <w:trHeight w:val="308"/>
        </w:trPr>
        <w:tc>
          <w:tcPr>
            <w:tcW w:w="3559" w:type="dxa"/>
            <w:gridSpan w:val="4"/>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271"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2143"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6650" w:type="dxa"/>
            <w:tcBorders>
              <w:top w:val="nil"/>
              <w:left w:val="nil"/>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r>
      <w:tr>
        <w:trPr>
          <w:trHeight w:val="308"/>
        </w:trPr>
        <w:tc>
          <w:tcPr>
            <w:tcW w:w="3559" w:type="dxa"/>
            <w:gridSpan w:val="4"/>
            <w:tcBorders>
              <w:top w:val="nil"/>
              <w:left w:val="single" w:sz="4" w:space="0" w:color="000000"/>
              <w:bottom w:val="single" w:sz="4" w:space="0" w:color="000000"/>
              <w:right w:val="single" w:sz="4" w:space="0" w:color="000000"/>
            </w:tcBorders>
            <w:shd w:val="clear" w:color="auto" w:fill="auto"/>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271"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2143"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665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r>
      <w:tr>
        <w:trPr>
          <w:trHeight w:val="308"/>
        </w:trPr>
        <w:tc>
          <w:tcPr>
            <w:tcW w:w="666"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893"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271"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143"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65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666"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893"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271"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143"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65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666"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893"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271"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143"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65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666"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893"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271"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143"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65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666"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893"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271"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143"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65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666" w:type="dxa"/>
            <w:gridSpan w:val="3"/>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893"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271"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143"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665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3623" w:type="dxa"/>
            <w:gridSpan w:val="7"/>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注：1.本表反映部门本年度国有资本经营预算财政拨款支出情况。</w:t>
            </w:r>
          </w:p>
        </w:tc>
      </w:tr>
    </w:tbl>
    <w:p>
      <w:pPr>
        <w:rPr>
          <w:rFonts w:ascii="宋体" w:cs="Arial"/>
          <w:color w:val="000000"/>
          <w:kern w:val="0"/>
          <w:sz w:val="22"/>
          <w:szCs w:val="22"/>
        </w:rPr>
      </w:pPr>
      <w:r>
        <w:rPr>
          <w:rFonts w:ascii="宋体" w:cs="Arial" w:hint="eastAsia"/>
          <w:color w:val="000000"/>
          <w:kern w:val="0"/>
          <w:sz w:val="22"/>
          <w:szCs w:val="22"/>
        </w:rPr>
        <w:t xml:space="preserve">     2.重庆江北机场海关没有经营国有资本，故本表无数据。</w:t>
      </w:r>
    </w:p>
    <w:p>
      <w:pPr>
        <w:widowControl/>
        <w:jc w:val="left"/>
        <w:rPr>
          <w:rFonts w:ascii="Arial" w:cs="Arial" w:hAnsi="Arial"/>
          <w:color w:val="000000"/>
          <w:kern w:val="0"/>
          <w:sz w:val="20"/>
          <w:szCs w:val="20"/>
        </w:rPr>
        <w:sectPr>
          <w:pgSz w:w="16840" w:h="11907" w:orient="landscape"/>
          <w:pgMar w:top="1134" w:right="1440" w:bottom="1134" w:left="1440" w:header="851" w:footer="992" w:gutter="0"/>
          <w:docGrid w:type="linesAndChars" w:linePitch="312" w:charSpace="0"/>
        </w:sectPr>
      </w:pPr>
    </w:p>
    <w:tbl>
      <w:tblPr>
        <w:jc w:val="left"/>
        <w:tblW w:w="5000" w:type="pct"/>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1208"/>
        <w:gridCol w:w="1208"/>
        <w:gridCol w:w="1128"/>
        <w:gridCol w:w="1128"/>
        <w:gridCol w:w="1128"/>
        <w:gridCol w:w="1128"/>
        <w:gridCol w:w="1128"/>
        <w:gridCol w:w="1128"/>
        <w:gridCol w:w="1128"/>
        <w:gridCol w:w="1120"/>
        <w:gridCol w:w="1128"/>
        <w:gridCol w:w="1616"/>
      </w:tblGrid>
      <w:tr>
        <w:trPr>
          <w:trHeight w:val="540"/>
        </w:trPr>
        <w:tc>
          <w:tcPr>
            <w:tcW w:w="5000" w:type="pct"/>
            <w:gridSpan w:val="12"/>
            <w:tcBorders>
              <w:top w:val="nil"/>
              <w:left w:val="nil"/>
              <w:bottom w:val="nil"/>
              <w:right w:val="nil"/>
            </w:tcBorders>
            <w:shd w:val="clear" w:color="auto" w:fill="auto"/>
            <w:noWrap/>
            <w:vAlign w:val="bottom"/>
          </w:tcPr>
          <w:p>
            <w:pPr>
              <w:widowControl/>
              <w:jc w:val="center"/>
              <w:rPr>
                <w:rFonts w:ascii="宋体" w:cs="Arial"/>
                <w:color w:val="000000"/>
                <w:kern w:val="0"/>
                <w:sz w:val="44"/>
                <w:szCs w:val="44"/>
              </w:rPr>
            </w:pPr>
            <w:r>
              <w:rPr>
                <w:rFonts w:ascii="宋体" w:cs="Arial" w:hint="eastAsia"/>
                <w:color w:val="000000"/>
                <w:kern w:val="0"/>
                <w:sz w:val="44"/>
                <w:szCs w:val="44"/>
              </w:rPr>
              <w:t>财政拨款“三公”经费支出决算表</w:t>
            </w:r>
          </w:p>
        </w:tc>
      </w:tr>
      <w:tr>
        <w:trPr>
          <w:trHeight w:val="255"/>
        </w:trPr>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20" w:type="pct"/>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公开09表</w:t>
            </w:r>
          </w:p>
        </w:tc>
      </w:tr>
      <w:tr>
        <w:trPr>
          <w:trHeight w:val="255"/>
        </w:trPr>
        <w:tc>
          <w:tcPr>
            <w:tcW w:w="833" w:type="pct"/>
            <w:gridSpan w:val="2"/>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部门：重庆江北机场海关</w:t>
            </w: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4"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17" w:type="pct"/>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420" w:type="pct"/>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250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预算数</w:t>
            </w:r>
          </w:p>
        </w:tc>
        <w:tc>
          <w:tcPr>
            <w:tcW w:w="2500" w:type="pct"/>
            <w:gridSpan w:val="6"/>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r>
      <w:tr>
        <w:trPr>
          <w:trHeight w:val="308"/>
        </w:trPr>
        <w:tc>
          <w:tcPr>
            <w:tcW w:w="417" w:type="pct"/>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417"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因公出国（境）费</w:t>
            </w:r>
          </w:p>
        </w:tc>
        <w:tc>
          <w:tcPr>
            <w:tcW w:w="1250"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公务用车购置及运行维护费</w:t>
            </w:r>
          </w:p>
        </w:tc>
        <w:tc>
          <w:tcPr>
            <w:tcW w:w="417"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公务接待费</w:t>
            </w:r>
          </w:p>
        </w:tc>
        <w:tc>
          <w:tcPr>
            <w:tcW w:w="417"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417"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因公出国（境）费</w:t>
            </w:r>
          </w:p>
        </w:tc>
        <w:tc>
          <w:tcPr>
            <w:tcW w:w="1247" w:type="pct"/>
            <w:gridSpan w:val="3"/>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公务用车购置及运行维护费</w:t>
            </w:r>
          </w:p>
        </w:tc>
        <w:tc>
          <w:tcPr>
            <w:tcW w:w="420" w:type="pct"/>
            <w:vMerge w:val="restar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公务接待费</w:t>
            </w:r>
          </w:p>
        </w:tc>
      </w:tr>
      <w:tr>
        <w:trPr>
          <w:trHeight w:val="615"/>
        </w:trPr>
        <w:tc>
          <w:tcPr>
            <w:tcW w:w="417" w:type="pct"/>
            <w:vMerge/>
            <w:tcBorders>
              <w:top w:val="nil"/>
              <w:left w:val="single" w:sz="4" w:space="0" w:color="000000"/>
              <w:bottom w:val="single" w:sz="4" w:space="0" w:color="000000"/>
              <w:right w:val="single" w:sz="4" w:space="0" w:color="000000"/>
            </w:tcBorders>
            <w:vAlign w:val="center"/>
          </w:tcPr>
          <w:p/>
        </w:tc>
        <w:tc>
          <w:tcPr>
            <w:tcW w:w="417" w:type="pct"/>
            <w:vMerge/>
            <w:tcBorders>
              <w:top w:val="nil"/>
              <w:left w:val="nil"/>
              <w:bottom w:val="single" w:sz="4" w:space="0" w:color="000000"/>
              <w:right w:val="single" w:sz="4" w:space="0" w:color="000000"/>
            </w:tcBorders>
            <w:vAlign w:val="center"/>
          </w:tcP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公务用车购置费</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公务用车运行维护费</w:t>
            </w:r>
          </w:p>
        </w:tc>
        <w:tc>
          <w:tcPr>
            <w:tcW w:w="417" w:type="pct"/>
            <w:vMerge/>
            <w:tcBorders>
              <w:top w:val="nil"/>
              <w:left w:val="nil"/>
              <w:bottom w:val="single" w:sz="4" w:space="0" w:color="000000"/>
              <w:right w:val="single" w:sz="4" w:space="0" w:color="000000"/>
            </w:tcBorders>
            <w:vAlign w:val="center"/>
          </w:tcPr>
          <w:p/>
        </w:tc>
        <w:tc>
          <w:tcPr>
            <w:tcW w:w="417" w:type="pct"/>
            <w:vMerge/>
            <w:tcBorders>
              <w:top w:val="nil"/>
              <w:left w:val="nil"/>
              <w:bottom w:val="single" w:sz="4" w:space="0" w:color="000000"/>
              <w:right w:val="single" w:sz="4" w:space="0" w:color="000000"/>
            </w:tcBorders>
            <w:vAlign w:val="center"/>
          </w:tcPr>
          <w:p/>
        </w:tc>
        <w:tc>
          <w:tcPr>
            <w:tcW w:w="417" w:type="pct"/>
            <w:vMerge/>
            <w:tcBorders>
              <w:top w:val="nil"/>
              <w:left w:val="nil"/>
              <w:bottom w:val="single" w:sz="4" w:space="0" w:color="000000"/>
              <w:right w:val="single" w:sz="4" w:space="0" w:color="000000"/>
            </w:tcBorders>
            <w:vAlign w:val="center"/>
          </w:tcP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414"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公务用车购置费</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公务用车运行维护费</w:t>
            </w:r>
          </w:p>
        </w:tc>
        <w:tc>
          <w:tcPr>
            <w:tcW w:w="420" w:type="pct"/>
            <w:vMerge/>
            <w:tcBorders>
              <w:top w:val="nil"/>
              <w:left w:val="nil"/>
              <w:bottom w:val="single" w:sz="4" w:space="0" w:color="000000"/>
              <w:right w:val="single" w:sz="4" w:space="0" w:color="000000"/>
            </w:tcBorders>
            <w:vAlign w:val="center"/>
          </w:tcPr>
          <w:p/>
        </w:tc>
      </w:tr>
      <w:tr>
        <w:trPr>
          <w:trHeight w:val="308"/>
        </w:trPr>
        <w:tc>
          <w:tcPr>
            <w:tcW w:w="417" w:type="pc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8</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9</w:t>
            </w:r>
          </w:p>
        </w:tc>
        <w:tc>
          <w:tcPr>
            <w:tcW w:w="414"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10</w:t>
            </w:r>
          </w:p>
        </w:tc>
        <w:tc>
          <w:tcPr>
            <w:tcW w:w="417"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11</w:t>
            </w:r>
          </w:p>
        </w:tc>
        <w:tc>
          <w:tcPr>
            <w:tcW w:w="420" w:type="pct"/>
            <w:tcBorders>
              <w:top w:val="nil"/>
              <w:left w:val="nil"/>
              <w:bottom w:val="single" w:sz="4" w:space="0" w:color="000000"/>
              <w:right w:val="single" w:sz="4" w:space="0" w:color="000000"/>
            </w:tcBorders>
            <w:shd w:val="clear" w:color="auto" w:fill="auto"/>
            <w:vAlign w:val="center"/>
          </w:tcPr>
          <w:p>
            <w:pPr>
              <w:widowControl/>
              <w:jc w:val="center"/>
              <w:rPr>
                <w:rFonts w:ascii="宋体" w:cs="Arial"/>
                <w:color w:val="000000"/>
                <w:kern w:val="0"/>
                <w:sz w:val="22"/>
                <w:szCs w:val="22"/>
              </w:rPr>
            </w:pPr>
            <w:r>
              <w:rPr>
                <w:rFonts w:ascii="宋体" w:cs="Arial" w:hint="eastAsia"/>
                <w:color w:val="000000"/>
                <w:kern w:val="0"/>
                <w:sz w:val="22"/>
                <w:szCs w:val="22"/>
              </w:rPr>
              <w:t>12</w:t>
            </w:r>
          </w:p>
        </w:tc>
      </w:tr>
      <w:tr>
        <w:trPr>
          <w:trHeight w:val="308"/>
        </w:trPr>
        <w:tc>
          <w:tcPr>
            <w:tcW w:w="417" w:type="pct"/>
            <w:tcBorders>
              <w:top w:val="nil"/>
              <w:left w:val="single" w:sz="4" w:space="0" w:color="000000"/>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26.00</w:t>
            </w:r>
          </w:p>
        </w:tc>
        <w:tc>
          <w:tcPr>
            <w:tcW w:w="41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1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26.00</w:t>
            </w:r>
          </w:p>
        </w:tc>
        <w:tc>
          <w:tcPr>
            <w:tcW w:w="41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1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26.00</w:t>
            </w:r>
          </w:p>
        </w:tc>
        <w:tc>
          <w:tcPr>
            <w:tcW w:w="41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1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26.00</w:t>
            </w:r>
          </w:p>
        </w:tc>
        <w:tc>
          <w:tcPr>
            <w:tcW w:w="41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1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26.00</w:t>
            </w:r>
          </w:p>
        </w:tc>
        <w:tc>
          <w:tcPr>
            <w:tcW w:w="414"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c>
          <w:tcPr>
            <w:tcW w:w="417"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26.00</w:t>
            </w:r>
          </w:p>
        </w:tc>
        <w:tc>
          <w:tcPr>
            <w:tcW w:w="420" w:type="pct"/>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0.00</w:t>
            </w:r>
          </w:p>
        </w:tc>
      </w:tr>
      <w:tr>
        <w:trPr>
          <w:trHeight w:val="615"/>
        </w:trPr>
        <w:tc>
          <w:tcPr>
            <w:tcW w:w="5000" w:type="pct"/>
            <w:gridSpan w:val="12"/>
            <w:tcBorders>
              <w:top w:val="nil"/>
              <w:left w:val="nil"/>
              <w:bottom w:val="nil"/>
              <w:right w:val="nil"/>
            </w:tcBorders>
            <w:shd w:val="clear" w:color="auto" w:fill="auto"/>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widowControl/>
        <w:jc w:val="left"/>
        <w:rPr>
          <w:rFonts w:ascii="Arial" w:cs="Arial" w:hAnsi="Arial"/>
          <w:color w:val="000000"/>
          <w:kern w:val="0"/>
          <w:sz w:val="20"/>
          <w:szCs w:val="20"/>
        </w:rPr>
      </w:pPr>
    </w:p>
    <w:p>
      <w:pPr>
        <w:widowControl/>
        <w:jc w:val="left"/>
        <w:rPr>
          <w:rFonts w:ascii="Arial" w:cs="Arial" w:hAnsi="Arial"/>
          <w:color w:val="000000"/>
          <w:kern w:val="0"/>
          <w:sz w:val="20"/>
          <w:szCs w:val="20"/>
        </w:rPr>
        <w:sectPr>
          <w:pgSz w:w="16840" w:h="11907" w:orient="landscape"/>
          <w:pgMar w:top="1134" w:right="1440" w:bottom="1134" w:left="1440" w:header="851" w:footer="992" w:gutter="0"/>
          <w:docGrid w:type="linesAndChars" w:linePitch="312" w:charSpace="0"/>
        </w:sectPr>
      </w:pPr>
    </w:p>
    <w:p/>
    <w:p>
      <w:pPr>
        <w:widowControl/>
        <w:autoSpaceDN w:val="0"/>
        <w:spacing w:line="560" w:lineRule="exact"/>
        <w:ind w:firstLineChars="100" w:firstLine="320"/>
        <w:jc w:val="left"/>
        <w:rPr>
          <w:rFonts w:ascii="方正黑体_GBK" w:eastAsia="方正黑体_GBK"/>
          <w:sz w:val="32"/>
          <w:szCs w:val="32"/>
        </w:rPr>
      </w:pPr>
      <w:r>
        <w:rPr>
          <w:rFonts w:ascii="方正黑体_GBK" w:eastAsia="方正黑体_GBK" w:hint="eastAsia"/>
          <w:sz w:val="32"/>
          <w:szCs w:val="32"/>
        </w:rPr>
        <w:t xml:space="preserve">   </w:t>
      </w: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ind w:firstLineChars="100" w:firstLine="720"/>
        <w:jc w:val="center"/>
        <w:rPr>
          <w:rFonts w:ascii="宋体"/>
          <w:b/>
          <w:sz w:val="72"/>
          <w:szCs w:val="72"/>
        </w:rPr>
      </w:pPr>
      <w:r>
        <w:rPr>
          <w:rFonts w:ascii="宋体" w:hint="eastAsia"/>
          <w:b/>
          <w:sz w:val="72"/>
          <w:szCs w:val="72"/>
        </w:rPr>
        <w:t>第三部分</w:t>
      </w:r>
    </w:p>
    <w:p>
      <w:pPr>
        <w:widowControl/>
        <w:autoSpaceDN w:val="0"/>
        <w:ind w:firstLineChars="100" w:firstLine="720"/>
        <w:jc w:val="center"/>
        <w:rPr>
          <w:rFonts w:ascii="宋体"/>
          <w:b/>
          <w:sz w:val="72"/>
          <w:szCs w:val="72"/>
        </w:rPr>
      </w:pPr>
      <w:r>
        <w:rPr>
          <w:rFonts w:ascii="宋体" w:hint="eastAsia"/>
          <w:b/>
          <w:sz w:val="72"/>
          <w:szCs w:val="72"/>
        </w:rPr>
        <w:t>2022年度部门决算</w:t>
      </w:r>
    </w:p>
    <w:p>
      <w:pPr>
        <w:widowControl/>
        <w:autoSpaceDN w:val="0"/>
        <w:ind w:firstLineChars="100" w:firstLine="720"/>
        <w:jc w:val="center"/>
        <w:rPr>
          <w:rFonts w:ascii="宋体"/>
          <w:b/>
          <w:sz w:val="72"/>
          <w:szCs w:val="72"/>
        </w:rPr>
      </w:pPr>
      <w:r>
        <w:rPr>
          <w:rFonts w:ascii="宋体" w:hint="eastAsia"/>
          <w:b/>
          <w:sz w:val="72"/>
          <w:szCs w:val="72"/>
        </w:rPr>
        <w:t>情况说明</w:t>
      </w: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widowControl/>
        <w:autoSpaceDN w:val="0"/>
        <w:spacing w:line="560" w:lineRule="exact"/>
        <w:ind w:firstLineChars="100" w:firstLine="320"/>
        <w:jc w:val="left"/>
        <w:rPr>
          <w:rFonts w:ascii="方正黑体_GBK" w:eastAsia="方正黑体_GBK"/>
          <w:sz w:val="32"/>
          <w:szCs w:val="32"/>
        </w:rPr>
      </w:pPr>
    </w:p>
    <w:p>
      <w:pPr>
        <w:autoSpaceDN w:val="0"/>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一、收入支出决算总体情况说明</w:t>
      </w:r>
    </w:p>
    <w:p>
      <w:pPr>
        <w:autoSpaceDN w:val="0"/>
        <w:spacing w:line="560" w:lineRule="exact"/>
        <w:ind w:firstLineChars="200" w:firstLine="640"/>
        <w:rPr>
          <w:rFonts w:eastAsia="方正仿宋_GBK"/>
          <w:sz w:val="32"/>
          <w:szCs w:val="32"/>
        </w:rPr>
      </w:pPr>
      <w:r>
        <w:rPr>
          <w:rFonts w:eastAsia="方正仿宋_GBK" w:hint="eastAsia"/>
          <w:sz w:val="32"/>
          <w:szCs w:val="32"/>
        </w:rPr>
        <w:t>2022年度收入3,588.99万元，与2021年度收入3,279.38万元相比，增加309.61万元，增幅9.44%；支出总计3,588.99万元，与2021年度支出3,279.38万元相比，增加309.61万元，增幅9.44%，主要</w:t>
      </w:r>
      <w:r>
        <w:rPr>
          <w:rFonts w:eastAsia="方正仿宋_GBK"/>
          <w:sz w:val="32"/>
          <w:szCs w:val="32"/>
        </w:rPr>
        <w:t>原因是</w:t>
      </w:r>
      <w:r>
        <w:rPr>
          <w:rFonts w:eastAsia="方正仿宋_GBK" w:hint="eastAsia"/>
          <w:sz w:val="32"/>
          <w:szCs w:val="32"/>
        </w:rPr>
        <w:t>2022年机场海关年初结转结余较上年增加，本年各项工作开展较多，且疫情防控等支出增加，所以收支均有增加。</w:t>
      </w:r>
    </w:p>
    <w:p>
      <w:pPr>
        <w:autoSpaceDN w:val="0"/>
        <w:spacing w:line="560" w:lineRule="exact"/>
        <w:jc w:val="center"/>
        <w:rPr>
          <w:rFonts w:ascii="方正仿宋_GBK" w:eastAsia="方正仿宋_GBK"/>
          <w:bCs/>
          <w:sz w:val="32"/>
          <w:szCs w:val="32"/>
        </w:rPr>
      </w:pPr>
      <w:r>
        <w:rPr>
          <w:rFonts w:ascii="方正仿宋_GBK" w:eastAsia="方正仿宋_GBK" w:hint="eastAsia"/>
          <w:bCs/>
          <w:sz w:val="32"/>
          <w:szCs w:val="32"/>
        </w:rPr>
        <w:t>图1：收、支决算总计变动情况（单位：万元）</w:t>
      </w:r>
    </w:p>
    <w:p>
      <w:pPr>
        <w:autoSpaceDN w:val="0"/>
        <w:spacing w:line="560" w:lineRule="exact"/>
        <w:jc w:val="center"/>
        <w:rPr>
          <w:rFonts w:ascii="方正楷体_GBK" w:eastAsia="方正楷体_GBK"/>
          <w:b/>
          <w:sz w:val="32"/>
          <w:szCs w:val="32"/>
        </w:rPr>
      </w:pPr>
      <w:r>
        <w:drawing>
          <wp:anchor distT="0" distB="0" distL="114297" distR="114297" simplePos="0" relativeHeight="14" behindDoc="0" locked="0" layoutInCell="1" hidden="0" allowOverlap="1">
            <wp:simplePos x="0" y="0"/>
            <wp:positionH relativeFrom="column">
              <wp:posOffset>326390</wp:posOffset>
            </wp:positionH>
            <wp:positionV relativeFrom="paragraph">
              <wp:posOffset>74930</wp:posOffset>
            </wp:positionV>
            <wp:extent cx="4572635" cy="2975610"/>
            <wp:effectExtent l="0" t="0" r="0" b="0"/>
            <wp:wrapNone/>
            <wp:docPr id="1" name="图片 1"/>
            <wp:cNvGraphicFramePr>
              <a:graphicFrameLocks noChangeAspect="1"/>
            </wp:cNvGraphicFramePr>
            <a:graphic>
              <a:graphicData uri="http://schemas.openxmlformats.org/drawingml/2006/picture">
                <pic:pic>
                  <pic:nvPicPr>
                    <pic:cNvPr id="3" name="图片 3"/>
                    <pic:cNvPicPr/>
                  </pic:nvPicPr>
                  <pic:blipFill>
                    <a:blip r:embed="rId5"/>
                    <a:stretch>
                      <a:fillRect/>
                    </a:stretch>
                  </pic:blipFill>
                  <pic:spPr>
                    <a:xfrm rot="0">
                      <a:off x="0" y="0"/>
                      <a:ext cx="4572635" cy="2975610"/>
                    </a:xfrm>
                    <a:prstGeom prst="rect"/>
                    <a:noFill/>
                    <a:ln w="9525" cmpd="sng" cap="flat">
                      <a:solidFill>
                        <a:srgbClr val="000000"/>
                      </a:solidFill>
                      <a:prstDash val="solid"/>
                      <a:miter/>
                    </a:ln>
                  </pic:spPr>
                </pic:pic>
              </a:graphicData>
            </a:graphic>
          </wp:anchor>
        </w:drawing>
      </w:r>
    </w:p>
    <w:p>
      <w:pPr>
        <w:autoSpaceDN w:val="0"/>
        <w:spacing w:line="560" w:lineRule="exact"/>
        <w:jc w:val="center"/>
        <w:rPr>
          <w:rFonts w:ascii="方正楷体_GBK" w:eastAsia="方正楷体_GBK"/>
          <w:b/>
          <w:sz w:val="32"/>
          <w:szCs w:val="32"/>
        </w:rPr>
      </w:pPr>
    </w:p>
    <w:p>
      <w:pPr>
        <w:autoSpaceDN w:val="0"/>
        <w:spacing w:line="560" w:lineRule="exact"/>
        <w:jc w:val="center"/>
        <w:rPr>
          <w:rFonts w:ascii="方正楷体_GBK" w:eastAsia="方正楷体_GBK"/>
          <w:b/>
          <w:sz w:val="32"/>
          <w:szCs w:val="32"/>
        </w:rPr>
      </w:pPr>
    </w:p>
    <w:p>
      <w:pPr>
        <w:autoSpaceDN w:val="0"/>
        <w:spacing w:line="560" w:lineRule="exact"/>
        <w:jc w:val="center"/>
        <w:rPr>
          <w:rFonts w:ascii="方正楷体_GBK" w:eastAsia="方正楷体_GBK"/>
          <w:b/>
          <w:sz w:val="32"/>
          <w:szCs w:val="32"/>
        </w:rPr>
      </w:pPr>
    </w:p>
    <w:p>
      <w:pPr>
        <w:tabs>
          <w:tab w:val="left" w:pos="3030"/>
        </w:tabs>
        <w:autoSpaceDN w:val="0"/>
        <w:spacing w:line="560" w:lineRule="exact"/>
        <w:rPr>
          <w:rFonts w:ascii="方正楷体_GBK" w:eastAsia="方正楷体_GBK"/>
          <w:b/>
          <w:sz w:val="32"/>
          <w:szCs w:val="32"/>
        </w:rPr>
      </w:pPr>
      <w:r>
        <w:rPr>
          <w:rFonts w:ascii="方正楷体_GBK" w:eastAsia="方正楷体_GBK" w:hint="eastAsia"/>
          <w:b/>
          <w:sz w:val="32"/>
          <w:szCs w:val="32"/>
        </w:rPr>
        <w:tab/>
      </w:r>
    </w:p>
    <w:p>
      <w:pPr>
        <w:autoSpaceDN w:val="0"/>
        <w:spacing w:line="560" w:lineRule="exact"/>
        <w:jc w:val="center"/>
        <w:rPr>
          <w:rFonts w:ascii="方正楷体_GBK" w:eastAsia="方正楷体_GBK"/>
          <w:b/>
          <w:sz w:val="32"/>
          <w:szCs w:val="32"/>
        </w:rPr>
      </w:pPr>
    </w:p>
    <w:p>
      <w:pPr>
        <w:autoSpaceDN w:val="0"/>
        <w:spacing w:line="560" w:lineRule="exact"/>
        <w:jc w:val="center"/>
        <w:rPr>
          <w:rFonts w:ascii="方正楷体_GBK" w:eastAsia="方正楷体_GBK"/>
          <w:b/>
          <w:sz w:val="32"/>
          <w:szCs w:val="32"/>
        </w:rPr>
      </w:pPr>
    </w:p>
    <w:p>
      <w:pPr>
        <w:autoSpaceDN w:val="0"/>
        <w:spacing w:line="560" w:lineRule="exact"/>
        <w:rPr>
          <w:rFonts w:ascii="方正楷体_GBK" w:eastAsia="方正楷体_GBK"/>
          <w:b/>
          <w:sz w:val="32"/>
          <w:szCs w:val="32"/>
        </w:rPr>
      </w:pPr>
      <w:r>
        <w:rPr>
          <w:rFonts w:ascii="方正楷体_GBK" w:eastAsia="方正楷体_GBK" w:hint="eastAsia"/>
          <w:b/>
          <w:sz w:val="32"/>
          <w:szCs w:val="32"/>
        </w:rPr>
        <w:t xml:space="preserve">    </w:t>
      </w:r>
    </w:p>
    <w:p>
      <w:pPr>
        <w:autoSpaceDN w:val="0"/>
        <w:spacing w:line="560" w:lineRule="exact"/>
        <w:rPr>
          <w:rFonts w:ascii="方正黑体_GBK" w:eastAsia="方正黑体_GBK"/>
          <w:bCs/>
          <w:sz w:val="32"/>
          <w:szCs w:val="32"/>
        </w:rPr>
      </w:pPr>
      <w:r>
        <w:rPr>
          <w:rFonts w:ascii="方正黑体_GBK" w:eastAsia="方正黑体_GBK" w:hint="eastAsia"/>
          <w:bCs/>
          <w:sz w:val="32"/>
          <w:szCs w:val="32"/>
        </w:rPr>
        <w:t xml:space="preserve">    </w:t>
      </w:r>
    </w:p>
    <w:p>
      <w:pPr>
        <w:autoSpaceDN w:val="0"/>
        <w:spacing w:line="560" w:lineRule="exact"/>
        <w:rPr>
          <w:rFonts w:ascii="方正楷体_GBK" w:eastAsia="方正楷体_GBK"/>
          <w:b/>
          <w:bCs/>
          <w:sz w:val="32"/>
          <w:szCs w:val="32"/>
        </w:rPr>
      </w:pPr>
      <w:r>
        <w:rPr>
          <w:rFonts w:ascii="方正黑体_GBK" w:eastAsia="方正黑体_GBK" w:hint="eastAsia"/>
          <w:bCs/>
          <w:sz w:val="32"/>
          <w:szCs w:val="32"/>
        </w:rPr>
        <w:t xml:space="preserve">    二、收入决算情况说明</w:t>
      </w:r>
      <w:r>
        <w:rPr>
          <w:rFonts w:ascii="方正楷体_GBK" w:eastAsia="方正楷体_GBK" w:hint="eastAsia"/>
          <w:b/>
          <w:bCs/>
          <w:sz w:val="32"/>
          <w:szCs w:val="32"/>
        </w:rPr>
        <w:t xml:space="preserve"> </w:t>
      </w:r>
    </w:p>
    <w:p>
      <w:pPr>
        <w:autoSpaceDN w:val="0"/>
        <w:spacing w:line="560" w:lineRule="exact"/>
        <w:ind w:firstLineChars="200" w:firstLine="640"/>
      </w:pPr>
      <w:r>
        <w:rPr>
          <w:rFonts w:eastAsia="方正仿宋_GBK"/>
          <w:sz w:val="32"/>
          <w:szCs w:val="32"/>
        </w:rPr>
        <w:t>202</w:t>
      </w:r>
      <w:r>
        <w:rPr>
          <w:rFonts w:eastAsia="方正仿宋_GBK" w:hint="eastAsia"/>
          <w:sz w:val="32"/>
          <w:szCs w:val="32"/>
        </w:rPr>
        <w:t>2</w:t>
      </w:r>
      <w:r>
        <w:rPr>
          <w:rFonts w:eastAsia="方正仿宋_GBK"/>
          <w:sz w:val="32"/>
          <w:szCs w:val="32"/>
        </w:rPr>
        <w:t>年度</w:t>
      </w:r>
      <w:r>
        <w:rPr>
          <w:rFonts w:eastAsia="方正仿宋_GBK" w:hint="eastAsia"/>
          <w:sz w:val="32"/>
          <w:szCs w:val="32"/>
        </w:rPr>
        <w:t>收入</w:t>
      </w:r>
      <w:r>
        <w:rPr>
          <w:rFonts w:eastAsia="方正仿宋_GBK"/>
          <w:sz w:val="32"/>
          <w:szCs w:val="32"/>
        </w:rPr>
        <w:t>合</w:t>
      </w:r>
      <w:r>
        <w:rPr>
          <w:rFonts w:eastAsia="方正仿宋_GBK" w:hint="eastAsia"/>
          <w:sz w:val="32"/>
          <w:szCs w:val="32"/>
        </w:rPr>
        <w:t>计2,709.16万元。其中</w:t>
      </w:r>
      <w:r>
        <w:rPr>
          <w:rFonts w:eastAsia="方正仿宋_GBK" w:hint="eastAsia"/>
          <w:b/>
          <w:bCs/>
          <w:sz w:val="32"/>
          <w:szCs w:val="32"/>
        </w:rPr>
        <w:t>：</w:t>
      </w:r>
      <w:r>
        <w:rPr>
          <w:rFonts w:eastAsia="方正仿宋_GBK" w:hint="eastAsia"/>
          <w:bCs/>
          <w:sz w:val="32"/>
          <w:szCs w:val="32"/>
        </w:rPr>
        <w:t>财政拨款收入</w:t>
      </w:r>
      <w:r>
        <w:rPr>
          <w:rFonts w:eastAsia="方正仿宋_GBK" w:hint="eastAsia"/>
          <w:sz w:val="32"/>
          <w:szCs w:val="32"/>
        </w:rPr>
        <w:t>1,626.30万元，占60.03%；</w:t>
      </w:r>
      <w:r>
        <w:rPr>
          <w:rFonts w:eastAsia="方正仿宋_GBK" w:hint="eastAsia"/>
          <w:bCs/>
          <w:sz w:val="32"/>
          <w:szCs w:val="32"/>
        </w:rPr>
        <w:t>其他收入</w:t>
      </w:r>
      <w:r>
        <w:rPr>
          <w:rFonts w:eastAsia="方正仿宋_GBK" w:hint="eastAsia"/>
          <w:sz w:val="32"/>
          <w:szCs w:val="32"/>
        </w:rPr>
        <w:t>1,082.86</w:t>
      </w:r>
      <w:r>
        <w:rPr>
          <w:rFonts w:eastAsia="方正仿宋_GBK" w:hint="eastAsia"/>
          <w:bCs/>
          <w:kern w:val="0"/>
          <w:sz w:val="32"/>
          <w:szCs w:val="32"/>
        </w:rPr>
        <w:t>万元，占</w:t>
      </w:r>
      <w:r>
        <w:rPr>
          <w:rFonts w:eastAsia="方正仿宋_GBK" w:hint="eastAsia"/>
          <w:sz w:val="32"/>
          <w:szCs w:val="32"/>
        </w:rPr>
        <w:t>39.97</w:t>
      </w:r>
      <w:r>
        <w:rPr>
          <w:rFonts w:eastAsia="方正仿宋_GBK" w:hint="eastAsia"/>
          <w:bCs/>
          <w:kern w:val="0"/>
          <w:sz w:val="32"/>
          <w:szCs w:val="32"/>
        </w:rPr>
        <w:t>%。</w:t>
      </w:r>
    </w:p>
    <w:p>
      <w:pPr>
        <w:autoSpaceDN w:val="0"/>
        <w:spacing w:line="560" w:lineRule="exact"/>
        <w:jc w:val="center"/>
        <w:rPr>
          <w:rFonts w:ascii="方正仿宋_GBK" w:eastAsia="方正仿宋_GBK"/>
          <w:bCs/>
          <w:sz w:val="32"/>
          <w:szCs w:val="32"/>
        </w:rPr>
      </w:pPr>
    </w:p>
    <w:p>
      <w:pPr>
        <w:autoSpaceDN w:val="0"/>
        <w:spacing w:line="560" w:lineRule="exact"/>
        <w:jc w:val="center"/>
        <w:rPr>
          <w:rFonts w:ascii="方正仿宋_GBK" w:eastAsia="方正仿宋_GBK"/>
          <w:bCs/>
          <w:sz w:val="32"/>
          <w:szCs w:val="32"/>
        </w:rPr>
      </w:pPr>
    </w:p>
    <w:p>
      <w:pPr>
        <w:autoSpaceDN w:val="0"/>
        <w:spacing w:line="560" w:lineRule="exact"/>
        <w:jc w:val="center"/>
        <w:rPr>
          <w:rFonts w:ascii="方正仿宋_GBK" w:eastAsia="方正仿宋_GBK"/>
          <w:bCs/>
          <w:sz w:val="32"/>
          <w:szCs w:val="32"/>
        </w:rPr>
      </w:pPr>
    </w:p>
    <w:p>
      <w:pPr>
        <w:autoSpaceDN w:val="0"/>
        <w:spacing w:line="560" w:lineRule="exact"/>
        <w:jc w:val="center"/>
        <w:rPr>
          <w:rFonts w:ascii="方正仿宋_GBK" w:eastAsia="方正仿宋_GBK"/>
          <w:bCs/>
          <w:sz w:val="32"/>
          <w:szCs w:val="32"/>
        </w:rPr>
      </w:pPr>
    </w:p>
    <w:p>
      <w:pPr>
        <w:autoSpaceDN w:val="0"/>
        <w:spacing w:line="560" w:lineRule="exact"/>
        <w:jc w:val="center"/>
        <w:rPr>
          <w:rFonts w:ascii="方正楷体_GBK" w:eastAsia="方正楷体_GBK"/>
          <w:b/>
          <w:bCs/>
          <w:sz w:val="32"/>
          <w:szCs w:val="32"/>
        </w:rPr>
      </w:pPr>
      <w:r>
        <w:rPr>
          <w:rFonts w:ascii="方正仿宋_GBK" w:eastAsia="方正仿宋_GBK" w:hint="eastAsia"/>
          <w:bCs/>
          <w:sz w:val="32"/>
          <w:szCs w:val="32"/>
        </w:rPr>
        <w:t>图2：收入决算</w:t>
      </w:r>
    </w:p>
    <w:p>
      <w:pPr>
        <w:autoSpaceDN w:val="0"/>
        <w:spacing w:line="560" w:lineRule="exact"/>
        <w:ind w:firstLineChars="200" w:firstLine="420"/>
        <w:rPr>
          <w:rFonts w:eastAsia="方正仿宋_GBK"/>
          <w:spacing w:val="-6"/>
          <w:sz w:val="32"/>
          <w:szCs w:val="32"/>
        </w:rPr>
      </w:pPr>
      <w:r>
        <w:drawing>
          <wp:anchor distT="0" distB="0" distL="114297" distR="114297" simplePos="0" relativeHeight="16" behindDoc="0" locked="0" layoutInCell="1" hidden="0" allowOverlap="1">
            <wp:simplePos x="0" y="0"/>
            <wp:positionH relativeFrom="column">
              <wp:posOffset>422274</wp:posOffset>
            </wp:positionH>
            <wp:positionV relativeFrom="paragraph">
              <wp:posOffset>10795</wp:posOffset>
            </wp:positionV>
            <wp:extent cx="4572634" cy="2746375"/>
            <wp:effectExtent l="0" t="0" r="0" b="0"/>
            <wp:wrapNone/>
            <wp:docPr id="4" name="图片 4"/>
            <wp:cNvGraphicFramePr>
              <a:graphicFrameLocks noChangeAspect="1"/>
            </wp:cNvGraphicFramePr>
            <a:graphic>
              <a:graphicData uri="http://schemas.openxmlformats.org/drawingml/2006/picture">
                <pic:pic>
                  <pic:nvPicPr>
                    <pic:cNvPr id="6" name="图片 6"/>
                    <pic:cNvPicPr/>
                  </pic:nvPicPr>
                  <pic:blipFill>
                    <a:blip r:embed="rId6"/>
                    <a:stretch>
                      <a:fillRect/>
                    </a:stretch>
                  </pic:blipFill>
                  <pic:spPr>
                    <a:xfrm rot="0">
                      <a:off x="0" y="0"/>
                      <a:ext cx="4572634" cy="2746375"/>
                    </a:xfrm>
                    <a:prstGeom prst="rect"/>
                    <a:noFill/>
                    <a:ln w="9525" cmpd="sng" cap="flat">
                      <a:solidFill>
                        <a:srgbClr val="000000"/>
                      </a:solidFill>
                      <a:prstDash val="solid"/>
                      <a:miter/>
                    </a:ln>
                  </pic:spPr>
                </pic:pic>
              </a:graphicData>
            </a:graphic>
          </wp:anchor>
        </w:drawing>
      </w:r>
    </w:p>
    <w:p>
      <w:pPr>
        <w:autoSpaceDN w:val="0"/>
        <w:spacing w:line="560" w:lineRule="exact"/>
        <w:ind w:firstLineChars="200" w:firstLine="616"/>
        <w:rPr>
          <w:rFonts w:eastAsia="方正仿宋_GBK"/>
          <w:spacing w:val="-6"/>
          <w:sz w:val="32"/>
          <w:szCs w:val="32"/>
        </w:rPr>
      </w:pPr>
    </w:p>
    <w:p>
      <w:pPr>
        <w:autoSpaceDN w:val="0"/>
        <w:spacing w:line="560" w:lineRule="exact"/>
        <w:ind w:firstLineChars="200" w:firstLine="616"/>
        <w:rPr>
          <w:rFonts w:eastAsia="方正仿宋_GBK"/>
          <w:spacing w:val="-6"/>
          <w:sz w:val="32"/>
          <w:szCs w:val="32"/>
        </w:rPr>
      </w:pPr>
    </w:p>
    <w:p>
      <w:pPr>
        <w:autoSpaceDN w:val="0"/>
        <w:spacing w:line="560" w:lineRule="exact"/>
        <w:ind w:firstLineChars="200" w:firstLine="616"/>
        <w:rPr>
          <w:rFonts w:eastAsia="方正仿宋_GBK"/>
          <w:spacing w:val="-6"/>
          <w:sz w:val="32"/>
          <w:szCs w:val="32"/>
        </w:rPr>
      </w:pPr>
    </w:p>
    <w:p>
      <w:pPr>
        <w:autoSpaceDN w:val="0"/>
        <w:spacing w:line="560" w:lineRule="exact"/>
        <w:ind w:firstLineChars="200" w:firstLine="616"/>
        <w:rPr>
          <w:rFonts w:eastAsia="方正仿宋_GBK"/>
          <w:spacing w:val="-6"/>
          <w:sz w:val="32"/>
          <w:szCs w:val="32"/>
        </w:rPr>
      </w:pPr>
    </w:p>
    <w:p>
      <w:pPr>
        <w:autoSpaceDN w:val="0"/>
        <w:spacing w:line="560" w:lineRule="exact"/>
        <w:ind w:firstLineChars="200" w:firstLine="616"/>
        <w:rPr>
          <w:rFonts w:eastAsia="方正仿宋_GBK"/>
          <w:spacing w:val="-6"/>
          <w:sz w:val="32"/>
          <w:szCs w:val="32"/>
        </w:rPr>
      </w:pPr>
    </w:p>
    <w:p>
      <w:pPr>
        <w:autoSpaceDN w:val="0"/>
        <w:spacing w:line="560" w:lineRule="exact"/>
        <w:ind w:firstLineChars="200" w:firstLine="616"/>
        <w:rPr>
          <w:rFonts w:eastAsia="方正仿宋_GBK"/>
          <w:spacing w:val="-6"/>
          <w:sz w:val="32"/>
          <w:szCs w:val="32"/>
        </w:rPr>
      </w:pPr>
    </w:p>
    <w:p>
      <w:pPr>
        <w:autoSpaceDN w:val="0"/>
        <w:spacing w:line="560" w:lineRule="exact"/>
        <w:ind w:firstLineChars="200" w:firstLine="616"/>
        <w:rPr>
          <w:rFonts w:eastAsia="方正仿宋_GBK"/>
          <w:spacing w:val="-6"/>
          <w:sz w:val="32"/>
          <w:szCs w:val="32"/>
        </w:rPr>
      </w:pPr>
    </w:p>
    <w:p>
      <w:pPr>
        <w:autoSpaceDN w:val="0"/>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三、支出决算情况说明</w:t>
      </w:r>
    </w:p>
    <w:p>
      <w:pPr>
        <w:autoSpaceDN w:val="0"/>
        <w:spacing w:line="560" w:lineRule="exact"/>
        <w:ind w:firstLineChars="200" w:firstLine="640"/>
        <w:rPr>
          <w:rFonts w:eastAsia="方正仿宋_GBK"/>
          <w:sz w:val="32"/>
          <w:szCs w:val="32"/>
        </w:rPr>
      </w:pPr>
      <w:r>
        <w:rPr>
          <w:rFonts w:eastAsia="方正仿宋_GBK"/>
          <w:sz w:val="32"/>
          <w:szCs w:val="32"/>
        </w:rPr>
        <w:t>202</w:t>
      </w:r>
      <w:r>
        <w:rPr>
          <w:rFonts w:eastAsia="方正仿宋_GBK" w:hint="eastAsia"/>
          <w:sz w:val="32"/>
          <w:szCs w:val="32"/>
        </w:rPr>
        <w:t>2</w:t>
      </w:r>
      <w:r>
        <w:rPr>
          <w:rFonts w:eastAsia="方正仿宋_GBK"/>
          <w:sz w:val="32"/>
          <w:szCs w:val="32"/>
        </w:rPr>
        <w:t>年</w:t>
      </w:r>
      <w:r>
        <w:rPr>
          <w:rFonts w:eastAsia="方正仿宋_GBK" w:hint="eastAsia"/>
          <w:sz w:val="32"/>
          <w:szCs w:val="32"/>
        </w:rPr>
        <w:t>度支出合计2,584.41万元，其中：基本支出2,508.93万元，占97.08%；项目支出75.48万元，占2.92%。</w:t>
      </w:r>
    </w:p>
    <w:p>
      <w:pPr>
        <w:autoSpaceDN w:val="0"/>
        <w:spacing w:line="560" w:lineRule="exact"/>
        <w:jc w:val="center"/>
        <w:rPr>
          <w:rFonts w:ascii="方正仿宋_GBK" w:eastAsia="方正仿宋_GBK"/>
          <w:bCs/>
          <w:sz w:val="32"/>
          <w:szCs w:val="32"/>
        </w:rPr>
      </w:pPr>
      <w:r>
        <w:rPr>
          <w:rFonts w:ascii="方正仿宋_GBK" w:eastAsia="方正仿宋_GBK" w:hint="eastAsia"/>
          <w:bCs/>
          <w:sz w:val="32"/>
          <w:szCs w:val="32"/>
        </w:rPr>
        <w:t>图3：支出决算（单位：万元）</w:t>
      </w:r>
    </w:p>
    <w:p>
      <w:pPr>
        <w:autoSpaceDN w:val="0"/>
        <w:spacing w:line="560" w:lineRule="exact"/>
        <w:jc w:val="center"/>
        <w:rPr>
          <w:rFonts w:ascii="方正仿宋_GBK" w:eastAsia="方正仿宋_GBK"/>
          <w:bCs/>
          <w:sz w:val="32"/>
          <w:szCs w:val="32"/>
        </w:rPr>
      </w:pPr>
      <w:r>
        <w:drawing>
          <wp:anchor distT="0" distB="0" distL="114297" distR="114297" simplePos="0" relativeHeight="15" behindDoc="0" locked="0" layoutInCell="1" hidden="0" allowOverlap="1">
            <wp:simplePos x="0" y="0"/>
            <wp:positionH relativeFrom="column">
              <wp:posOffset>508635</wp:posOffset>
            </wp:positionH>
            <wp:positionV relativeFrom="paragraph">
              <wp:posOffset>58419</wp:posOffset>
            </wp:positionV>
            <wp:extent cx="4572635" cy="2746375"/>
            <wp:effectExtent l="0" t="0" r="0" b="0"/>
            <wp:wrapNone/>
            <wp:docPr id="7" name="图片 7"/>
            <wp:cNvGraphicFramePr>
              <a:graphicFrameLocks noChangeAspect="1"/>
            </wp:cNvGraphicFramePr>
            <a:graphic>
              <a:graphicData uri="http://schemas.openxmlformats.org/drawingml/2006/picture">
                <pic:pic>
                  <pic:nvPicPr>
                    <pic:cNvPr id="9" name="图片 9"/>
                    <pic:cNvPicPr/>
                  </pic:nvPicPr>
                  <pic:blipFill>
                    <a:blip r:embed="rId7"/>
                    <a:stretch>
                      <a:fillRect/>
                    </a:stretch>
                  </pic:blipFill>
                  <pic:spPr>
                    <a:xfrm rot="0">
                      <a:off x="0" y="0"/>
                      <a:ext cx="4572635" cy="2746375"/>
                    </a:xfrm>
                    <a:prstGeom prst="rect"/>
                    <a:noFill/>
                    <a:ln w="9525" cmpd="sng" cap="flat">
                      <a:solidFill>
                        <a:srgbClr val="000000"/>
                      </a:solidFill>
                      <a:prstDash val="solid"/>
                      <a:miter/>
                    </a:ln>
                  </pic:spPr>
                </pic:pic>
              </a:graphicData>
            </a:graphic>
          </wp:anchor>
        </w:drawing>
      </w:r>
    </w:p>
    <w:p>
      <w:pPr>
        <w:autoSpaceDN w:val="0"/>
        <w:spacing w:line="560" w:lineRule="exact"/>
        <w:jc w:val="center"/>
        <w:rPr>
          <w:rFonts w:ascii="方正仿宋_GBK" w:eastAsia="方正仿宋_GBK"/>
          <w:bCs/>
          <w:sz w:val="32"/>
          <w:szCs w:val="32"/>
        </w:rPr>
      </w:pPr>
    </w:p>
    <w:p>
      <w:pPr>
        <w:autoSpaceDN w:val="0"/>
        <w:spacing w:line="560" w:lineRule="exact"/>
        <w:jc w:val="center"/>
        <w:rPr>
          <w:rFonts w:ascii="方正仿宋_GBK" w:eastAsia="方正仿宋_GBK"/>
          <w:bCs/>
          <w:sz w:val="32"/>
          <w:szCs w:val="32"/>
        </w:rPr>
      </w:pPr>
    </w:p>
    <w:p>
      <w:pPr>
        <w:autoSpaceDN w:val="0"/>
        <w:spacing w:line="560" w:lineRule="exact"/>
        <w:jc w:val="center"/>
        <w:rPr>
          <w:rFonts w:ascii="方正仿宋_GBK" w:eastAsia="方正仿宋_GBK"/>
          <w:bCs/>
          <w:sz w:val="32"/>
          <w:szCs w:val="32"/>
        </w:rPr>
      </w:pPr>
    </w:p>
    <w:p>
      <w:pPr>
        <w:autoSpaceDN w:val="0"/>
        <w:spacing w:line="560" w:lineRule="exact"/>
        <w:jc w:val="center"/>
        <w:rPr>
          <w:rFonts w:ascii="方正仿宋_GBK" w:eastAsia="方正仿宋_GBK"/>
          <w:bCs/>
          <w:sz w:val="32"/>
          <w:szCs w:val="32"/>
        </w:rPr>
      </w:pPr>
    </w:p>
    <w:p>
      <w:pPr>
        <w:autoSpaceDN w:val="0"/>
        <w:spacing w:line="560" w:lineRule="exact"/>
        <w:jc w:val="center"/>
        <w:rPr>
          <w:rFonts w:ascii="方正仿宋_GBK" w:eastAsia="方正仿宋_GBK"/>
          <w:bCs/>
          <w:sz w:val="32"/>
          <w:szCs w:val="32"/>
        </w:rPr>
      </w:pPr>
    </w:p>
    <w:p>
      <w:pPr>
        <w:autoSpaceDN w:val="0"/>
        <w:spacing w:line="560" w:lineRule="exact"/>
        <w:jc w:val="center"/>
        <w:rPr>
          <w:rFonts w:ascii="方正仿宋_GBK" w:eastAsia="方正仿宋_GBK"/>
          <w:bCs/>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rPr>
          <w:rFonts w:ascii="方正黑体_GBK" w:eastAsia="方正黑体_GBK"/>
          <w:bCs/>
          <w:sz w:val="32"/>
          <w:szCs w:val="32"/>
        </w:rPr>
      </w:pPr>
      <w:r>
        <w:rPr>
          <w:rFonts w:eastAsia="方正仿宋_GBK" w:hint="eastAsia"/>
          <w:kern w:val="0"/>
          <w:sz w:val="32"/>
          <w:szCs w:val="32"/>
        </w:rPr>
        <w:t xml:space="preserve">    </w:t>
      </w:r>
      <w:r>
        <w:rPr>
          <w:rFonts w:ascii="方正黑体_GBK" w:eastAsia="方正黑体_GBK" w:hint="eastAsia"/>
          <w:bCs/>
          <w:sz w:val="32"/>
          <w:szCs w:val="32"/>
        </w:rPr>
        <w:t>四、财政拨款收入支出决算总体情况说明</w:t>
      </w:r>
    </w:p>
    <w:p>
      <w:pPr>
        <w:autoSpaceDN w:val="0"/>
        <w:spacing w:line="560" w:lineRule="exact"/>
        <w:ind w:firstLineChars="200" w:firstLine="640"/>
        <w:rPr>
          <w:rFonts w:eastAsia="方正仿宋_GBK"/>
          <w:sz w:val="32"/>
          <w:szCs w:val="32"/>
        </w:rPr>
      </w:pPr>
      <w:r>
        <w:rPr>
          <w:rFonts w:eastAsia="方正仿宋_GBK" w:hint="eastAsia"/>
          <w:sz w:val="32"/>
          <w:szCs w:val="32"/>
        </w:rPr>
        <w:t>2022年度财政拨款收入1,626.30万元，与2021年度财政拨款收入1,476.53万元相比，增加了149.77万元，增幅10.14%；2022年度财政拨款支出1,626.30万元，与2021年度财政拨款支出1,476.53万元相比，增加了149.77万元，增幅10.14%，主要</w:t>
      </w:r>
      <w:r>
        <w:rPr>
          <w:rFonts w:eastAsia="方正仿宋_GBK"/>
          <w:sz w:val="32"/>
          <w:szCs w:val="32"/>
        </w:rPr>
        <w:t>原因</w:t>
      </w:r>
      <w:r>
        <w:rPr>
          <w:rFonts w:eastAsia="方正仿宋_GBK" w:hint="eastAsia"/>
          <w:sz w:val="32"/>
          <w:szCs w:val="32"/>
        </w:rPr>
        <w:t>是2022年增加的新冠疫情防控支出较多。</w:t>
      </w:r>
    </w:p>
    <w:p>
      <w:pPr>
        <w:autoSpaceDN w:val="0"/>
        <w:spacing w:line="560" w:lineRule="exact"/>
        <w:ind w:firstLineChars="200" w:firstLine="640"/>
        <w:rPr>
          <w:rFonts w:eastAsia="方正仿宋_GBK"/>
          <w:sz w:val="32"/>
          <w:szCs w:val="32"/>
        </w:rPr>
      </w:pPr>
      <w:r>
        <w:rPr>
          <w:rFonts w:eastAsia="方正仿宋_GBK" w:hint="eastAsia"/>
          <w:sz w:val="32"/>
          <w:szCs w:val="32"/>
        </w:rPr>
        <w:t>图4：财政拨款收、支决算总计变动情况（单位：万元）</w:t>
      </w:r>
    </w:p>
    <w:p>
      <w:pPr>
        <w:autoSpaceDN w:val="0"/>
        <w:spacing w:line="560" w:lineRule="exact"/>
        <w:ind w:firstLineChars="200" w:firstLine="420"/>
        <w:rPr>
          <w:rFonts w:eastAsia="方正仿宋_GBK"/>
          <w:sz w:val="32"/>
          <w:szCs w:val="32"/>
        </w:rPr>
      </w:pPr>
      <w:r>
        <w:drawing>
          <wp:anchor distT="0" distB="0" distL="114297" distR="114297" simplePos="0" relativeHeight="17" behindDoc="0" locked="0" layoutInCell="1" hidden="0" allowOverlap="1">
            <wp:simplePos x="0" y="0"/>
            <wp:positionH relativeFrom="column">
              <wp:posOffset>422274</wp:posOffset>
            </wp:positionH>
            <wp:positionV relativeFrom="paragraph">
              <wp:posOffset>93345</wp:posOffset>
            </wp:positionV>
            <wp:extent cx="4572634" cy="2746375"/>
            <wp:effectExtent l="0" t="0" r="0" b="0"/>
            <wp:wrapNone/>
            <wp:docPr id="10" name="图片 10"/>
            <wp:cNvGraphicFramePr>
              <a:graphicFrameLocks noChangeAspect="1"/>
            </wp:cNvGraphicFramePr>
            <a:graphic>
              <a:graphicData uri="http://schemas.openxmlformats.org/drawingml/2006/picture">
                <pic:pic>
                  <pic:nvPicPr>
                    <pic:cNvPr id="12" name="图片 12"/>
                    <pic:cNvPicPr/>
                  </pic:nvPicPr>
                  <pic:blipFill>
                    <a:blip r:embed="rId8"/>
                    <a:stretch>
                      <a:fillRect/>
                    </a:stretch>
                  </pic:blipFill>
                  <pic:spPr>
                    <a:xfrm rot="0">
                      <a:off x="0" y="0"/>
                      <a:ext cx="4572634" cy="2746375"/>
                    </a:xfrm>
                    <a:prstGeom prst="rect"/>
                    <a:noFill/>
                    <a:ln w="9525" cmpd="sng" cap="flat">
                      <a:solidFill>
                        <a:srgbClr val="000000"/>
                      </a:solidFill>
                      <a:prstDash val="solid"/>
                      <a:miter/>
                    </a:ln>
                  </pic:spPr>
                </pic:pic>
              </a:graphicData>
            </a:graphic>
          </wp:anchor>
        </w:drawing>
      </w: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五、一般公共预算财政拨款支出决算情况说明</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（一）</w:t>
      </w:r>
      <w:r>
        <w:rPr>
          <w:rFonts w:ascii="方正楷体_GBK" w:eastAsia="方正楷体_GBK" w:hint="eastAsia"/>
          <w:b/>
          <w:kern w:val="0"/>
          <w:sz w:val="32"/>
          <w:szCs w:val="32"/>
        </w:rPr>
        <w:t>财政拨款支出决算总体情况</w:t>
      </w:r>
    </w:p>
    <w:p>
      <w:pPr>
        <w:autoSpaceDN w:val="0"/>
        <w:spacing w:line="560" w:lineRule="exact"/>
        <w:ind w:firstLineChars="200" w:firstLine="640"/>
        <w:rPr>
          <w:rFonts w:eastAsia="方正仿宋_GBK"/>
          <w:sz w:val="32"/>
          <w:szCs w:val="32"/>
        </w:rPr>
      </w:pPr>
      <w:r>
        <w:rPr>
          <w:rFonts w:eastAsia="方正仿宋_GBK" w:hint="eastAsia"/>
          <w:kern w:val="0"/>
          <w:sz w:val="32"/>
          <w:szCs w:val="32"/>
        </w:rPr>
        <w:t>2022年度财政拨款支出</w:t>
      </w:r>
      <w:r>
        <w:rPr>
          <w:rFonts w:eastAsia="方正仿宋_GBK" w:hint="eastAsia"/>
          <w:sz w:val="32"/>
          <w:szCs w:val="32"/>
        </w:rPr>
        <w:t>1,626.30</w:t>
      </w:r>
      <w:r>
        <w:rPr>
          <w:rFonts w:eastAsia="方正仿宋_GBK" w:hint="eastAsia"/>
          <w:kern w:val="0"/>
          <w:sz w:val="32"/>
          <w:szCs w:val="32"/>
        </w:rPr>
        <w:t>万元，占本年支出合计的</w:t>
      </w:r>
      <w:r>
        <w:rPr>
          <w:rFonts w:eastAsia="方正仿宋_GBK" w:hint="eastAsia"/>
          <w:sz w:val="32"/>
          <w:szCs w:val="32"/>
        </w:rPr>
        <w:t>62.93</w:t>
      </w:r>
      <w:r>
        <w:rPr>
          <w:rFonts w:eastAsia="方正仿宋_GBK" w:hint="eastAsia"/>
          <w:kern w:val="0"/>
          <w:sz w:val="32"/>
          <w:szCs w:val="32"/>
        </w:rPr>
        <w:t>%。与2021年度相比，财政拨款支出增加149.77万元，</w:t>
      </w:r>
      <w:r>
        <w:rPr>
          <w:rFonts w:eastAsia="方正仿宋_GBK" w:hint="eastAsia"/>
          <w:sz w:val="32"/>
          <w:szCs w:val="32"/>
        </w:rPr>
        <w:t>增</w:t>
      </w:r>
      <w:r>
        <w:rPr>
          <w:rFonts w:eastAsia="方正仿宋_GBK" w:hint="eastAsia"/>
          <w:kern w:val="0"/>
          <w:sz w:val="32"/>
          <w:szCs w:val="32"/>
        </w:rPr>
        <w:t>幅</w:t>
      </w:r>
      <w:r>
        <w:rPr>
          <w:rFonts w:eastAsia="方正仿宋_GBK" w:hint="eastAsia"/>
          <w:sz w:val="32"/>
          <w:szCs w:val="32"/>
        </w:rPr>
        <w:t>10.14%，主要</w:t>
      </w:r>
      <w:r>
        <w:rPr>
          <w:rFonts w:eastAsia="方正仿宋_GBK"/>
          <w:sz w:val="32"/>
          <w:szCs w:val="32"/>
        </w:rPr>
        <w:t>原因是</w:t>
      </w:r>
      <w:r>
        <w:rPr>
          <w:rFonts w:eastAsia="方正仿宋_GBK" w:hint="eastAsia"/>
          <w:sz w:val="32"/>
          <w:szCs w:val="32"/>
        </w:rPr>
        <w:t>2022年增加的新冠疫情防控支出较多。</w:t>
      </w:r>
    </w:p>
    <w:p>
      <w:pPr>
        <w:autoSpaceDN w:val="0"/>
        <w:spacing w:line="560" w:lineRule="exact"/>
        <w:jc w:val="center"/>
        <w:rPr>
          <w:rFonts w:eastAsia="方正仿宋_GBK"/>
          <w:sz w:val="32"/>
          <w:szCs w:val="32"/>
        </w:rPr>
      </w:pPr>
    </w:p>
    <w:p>
      <w:pPr>
        <w:autoSpaceDN w:val="0"/>
        <w:spacing w:line="560" w:lineRule="exact"/>
        <w:jc w:val="center"/>
        <w:rPr>
          <w:rFonts w:eastAsia="方正仿宋_GBK"/>
          <w:sz w:val="32"/>
          <w:szCs w:val="32"/>
        </w:rPr>
      </w:pPr>
    </w:p>
    <w:p>
      <w:pPr>
        <w:autoSpaceDN w:val="0"/>
        <w:spacing w:line="560" w:lineRule="exact"/>
        <w:jc w:val="center"/>
        <w:rPr>
          <w:rFonts w:eastAsia="方正仿宋_GBK"/>
          <w:sz w:val="32"/>
          <w:szCs w:val="32"/>
        </w:rPr>
      </w:pPr>
    </w:p>
    <w:p>
      <w:pPr>
        <w:autoSpaceDN w:val="0"/>
        <w:spacing w:line="560" w:lineRule="exact"/>
        <w:jc w:val="center"/>
        <w:rPr>
          <w:rFonts w:eastAsia="方正仿宋_GBK"/>
          <w:sz w:val="32"/>
          <w:szCs w:val="32"/>
        </w:rPr>
      </w:pPr>
    </w:p>
    <w:p>
      <w:pPr>
        <w:autoSpaceDN w:val="0"/>
        <w:spacing w:line="560" w:lineRule="exact"/>
        <w:jc w:val="center"/>
        <w:rPr>
          <w:rFonts w:eastAsia="方正仿宋_GBK"/>
          <w:sz w:val="32"/>
          <w:szCs w:val="32"/>
        </w:rPr>
      </w:pPr>
    </w:p>
    <w:p>
      <w:pPr>
        <w:autoSpaceDN w:val="0"/>
        <w:spacing w:line="560" w:lineRule="exact"/>
        <w:jc w:val="center"/>
        <w:rPr>
          <w:rFonts w:eastAsia="方正仿宋_GBK"/>
          <w:sz w:val="32"/>
          <w:szCs w:val="32"/>
        </w:rPr>
      </w:pPr>
      <w:r>
        <w:rPr>
          <w:rFonts w:eastAsia="方正仿宋_GBK" w:hint="eastAsia"/>
          <w:sz w:val="32"/>
          <w:szCs w:val="32"/>
        </w:rPr>
        <w:t>图5：财政拨款支出决算变动情况（单位：万元）</w:t>
      </w:r>
    </w:p>
    <w:p>
      <w:pPr>
        <w:autoSpaceDN w:val="0"/>
        <w:spacing w:line="560" w:lineRule="exact"/>
        <w:rPr>
          <w:rFonts w:eastAsia="方正仿宋_GBK"/>
          <w:sz w:val="32"/>
          <w:szCs w:val="32"/>
        </w:rPr>
      </w:pPr>
      <w:r>
        <w:drawing>
          <wp:anchor distT="0" distB="0" distL="114297" distR="114297" simplePos="0" relativeHeight="18" behindDoc="0" locked="0" layoutInCell="1" hidden="0" allowOverlap="1">
            <wp:simplePos x="0" y="0"/>
            <wp:positionH relativeFrom="column">
              <wp:posOffset>422274</wp:posOffset>
            </wp:positionH>
            <wp:positionV relativeFrom="paragraph">
              <wp:posOffset>57785</wp:posOffset>
            </wp:positionV>
            <wp:extent cx="4572634" cy="2746375"/>
            <wp:effectExtent l="0" t="0" r="0" b="0"/>
            <wp:wrapNone/>
            <wp:docPr id="13" name="图片 13"/>
            <wp:cNvGraphicFramePr>
              <a:graphicFrameLocks noChangeAspect="1"/>
            </wp:cNvGraphicFramePr>
            <a:graphic>
              <a:graphicData uri="http://schemas.openxmlformats.org/drawingml/2006/picture">
                <pic:pic>
                  <pic:nvPicPr>
                    <pic:cNvPr id="15" name="图片 15"/>
                    <pic:cNvPicPr/>
                  </pic:nvPicPr>
                  <pic:blipFill>
                    <a:blip r:embed="rId9"/>
                    <a:stretch>
                      <a:fillRect/>
                    </a:stretch>
                  </pic:blipFill>
                  <pic:spPr>
                    <a:xfrm rot="0">
                      <a:off x="0" y="0"/>
                      <a:ext cx="4572634" cy="2746375"/>
                    </a:xfrm>
                    <a:prstGeom prst="rect"/>
                    <a:noFill/>
                    <a:ln w="9525" cmpd="sng" cap="flat">
                      <a:solidFill>
                        <a:srgbClr val="000000"/>
                      </a:solidFill>
                      <a:prstDash val="solid"/>
                      <a:miter/>
                    </a:ln>
                  </pic:spPr>
                </pic:pic>
              </a:graphicData>
            </a:graphic>
          </wp:anchor>
        </w:drawing>
      </w: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left="1000"/>
        <w:rPr>
          <w:rFonts w:eastAsia="方正仿宋_GBK"/>
          <w:kern w:val="0"/>
          <w:sz w:val="32"/>
          <w:szCs w:val="32"/>
        </w:rPr>
      </w:pPr>
    </w:p>
    <w:p>
      <w:pPr>
        <w:autoSpaceDN w:val="0"/>
        <w:spacing w:line="560" w:lineRule="exact"/>
        <w:ind w:firstLineChars="221" w:firstLine="707"/>
        <w:rPr>
          <w:rFonts w:eastAsia="方正仿宋_GBK"/>
          <w:kern w:val="0"/>
          <w:sz w:val="32"/>
          <w:szCs w:val="32"/>
        </w:rPr>
      </w:pPr>
      <w:r>
        <w:rPr>
          <w:rFonts w:ascii="方正楷体_GBK" w:eastAsia="方正楷体_GBK" w:hint="eastAsia"/>
          <w:b/>
          <w:kern w:val="0"/>
          <w:sz w:val="32"/>
          <w:szCs w:val="32"/>
        </w:rPr>
        <w:t>（二）财政拨款支出决算结构情况</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2022年度财政拨款支出</w:t>
      </w:r>
      <w:r>
        <w:rPr>
          <w:rFonts w:eastAsia="方正仿宋_GBK" w:hint="eastAsia"/>
          <w:sz w:val="32"/>
          <w:szCs w:val="32"/>
        </w:rPr>
        <w:t>1,626.30</w:t>
      </w:r>
      <w:r>
        <w:rPr>
          <w:rFonts w:eastAsia="方正仿宋_GBK" w:hint="eastAsia"/>
          <w:kern w:val="0"/>
          <w:sz w:val="32"/>
          <w:szCs w:val="32"/>
        </w:rPr>
        <w:t>万元，全部主要用于一般公共服务支出。</w:t>
      </w:r>
    </w:p>
    <w:p>
      <w:pPr>
        <w:tabs>
          <w:tab w:val="left" w:pos="4157"/>
        </w:tabs>
        <w:autoSpaceDN w:val="0"/>
        <w:spacing w:line="560" w:lineRule="exact"/>
        <w:ind w:firstLineChars="200" w:firstLine="640"/>
        <w:rPr>
          <w:rFonts w:ascii="方正楷体_GBK" w:eastAsia="方正楷体_GBK"/>
          <w:b/>
          <w:kern w:val="0"/>
          <w:sz w:val="32"/>
          <w:szCs w:val="32"/>
        </w:rPr>
      </w:pPr>
      <w:r>
        <w:rPr>
          <w:rFonts w:ascii="方正楷体_GBK" w:eastAsia="方正楷体_GBK" w:hint="eastAsia"/>
          <w:b/>
          <w:kern w:val="0"/>
          <w:sz w:val="32"/>
          <w:szCs w:val="32"/>
        </w:rPr>
        <w:t>（三）财政拨款支出决算具体情况</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2022年度财政拨款支出年初预算为</w:t>
      </w:r>
      <w:r>
        <w:rPr>
          <w:rFonts w:eastAsia="方正仿宋_GBK" w:hint="eastAsia"/>
          <w:sz w:val="32"/>
          <w:szCs w:val="32"/>
        </w:rPr>
        <w:t>1,529.03</w:t>
      </w:r>
      <w:r>
        <w:rPr>
          <w:rFonts w:eastAsia="方正仿宋_GBK" w:hint="eastAsia"/>
          <w:kern w:val="0"/>
          <w:sz w:val="32"/>
          <w:szCs w:val="32"/>
        </w:rPr>
        <w:t>万元，支出决算为</w:t>
      </w:r>
      <w:r>
        <w:rPr>
          <w:rFonts w:eastAsia="方正仿宋_GBK" w:hint="eastAsia"/>
          <w:sz w:val="32"/>
          <w:szCs w:val="32"/>
        </w:rPr>
        <w:t>1,626.30</w:t>
      </w:r>
      <w:r>
        <w:rPr>
          <w:rFonts w:eastAsia="方正仿宋_GBK" w:hint="eastAsia"/>
          <w:kern w:val="0"/>
          <w:sz w:val="32"/>
          <w:szCs w:val="32"/>
        </w:rPr>
        <w:t>万元，完成年初预算的</w:t>
      </w:r>
      <w:r>
        <w:rPr>
          <w:rFonts w:eastAsia="方正仿宋_GBK" w:hint="eastAsia"/>
          <w:sz w:val="32"/>
          <w:szCs w:val="32"/>
        </w:rPr>
        <w:t>106.36</w:t>
      </w:r>
      <w:r>
        <w:rPr>
          <w:rFonts w:eastAsia="方正仿宋_GBK" w:hint="eastAsia"/>
          <w:kern w:val="0"/>
          <w:sz w:val="32"/>
          <w:szCs w:val="32"/>
        </w:rPr>
        <w:t>%（执行调整追加预算97.27万元）。其中：</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1.</w:t>
      </w:r>
      <w:r>
        <w:rPr>
          <w:rFonts w:eastAsia="方正仿宋_GBK" w:hint="eastAsia"/>
          <w:bCs/>
          <w:kern w:val="0"/>
          <w:sz w:val="32"/>
          <w:szCs w:val="32"/>
        </w:rPr>
        <w:t>一般公共服务支出（类）海关事务（款）行政运行（项）</w:t>
      </w:r>
      <w:r>
        <w:rPr>
          <w:rFonts w:eastAsia="方正仿宋_GBK" w:hint="eastAsia"/>
          <w:kern w:val="0"/>
          <w:sz w:val="32"/>
          <w:szCs w:val="32"/>
        </w:rPr>
        <w:t>年初预算为</w:t>
      </w:r>
      <w:r>
        <w:rPr>
          <w:rFonts w:eastAsia="方正仿宋_GBK"/>
          <w:kern w:val="0"/>
          <w:sz w:val="32"/>
          <w:szCs w:val="32"/>
        </w:rPr>
        <w:t>1</w:t>
      </w:r>
      <w:r>
        <w:rPr>
          <w:rFonts w:eastAsia="方正仿宋_GBK" w:hint="eastAsia"/>
          <w:kern w:val="0"/>
          <w:sz w:val="32"/>
          <w:szCs w:val="32"/>
        </w:rPr>
        <w:t>,453.55万元，支出决算为</w:t>
      </w:r>
      <w:r>
        <w:rPr>
          <w:rFonts w:eastAsia="方正仿宋_GBK"/>
          <w:kern w:val="0"/>
          <w:sz w:val="32"/>
          <w:szCs w:val="32"/>
        </w:rPr>
        <w:t>1</w:t>
      </w:r>
      <w:r>
        <w:rPr>
          <w:rFonts w:eastAsia="方正仿宋_GBK" w:hint="eastAsia"/>
          <w:kern w:val="0"/>
          <w:sz w:val="32"/>
          <w:szCs w:val="32"/>
        </w:rPr>
        <w:t>,550.82万元，完成年初预算的</w:t>
      </w:r>
      <w:r>
        <w:rPr>
          <w:rFonts w:eastAsia="方正仿宋_GBK"/>
          <w:kern w:val="0"/>
          <w:sz w:val="32"/>
          <w:szCs w:val="32"/>
        </w:rPr>
        <w:t>10</w:t>
      </w:r>
      <w:r>
        <w:rPr>
          <w:rFonts w:eastAsia="方正仿宋_GBK" w:hint="eastAsia"/>
          <w:kern w:val="0"/>
          <w:sz w:val="32"/>
          <w:szCs w:val="32"/>
        </w:rPr>
        <w:t>6.69%。决算数大于预算数的主要原因是执行调整追加预算97.27万元。</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2.</w:t>
      </w:r>
      <w:r>
        <w:rPr>
          <w:rFonts w:eastAsia="方正仿宋_GBK" w:hint="eastAsia"/>
          <w:bCs/>
          <w:kern w:val="0"/>
          <w:sz w:val="32"/>
          <w:szCs w:val="32"/>
        </w:rPr>
        <w:t>一般公共服务支出（类）海关事务（款）</w:t>
      </w:r>
      <w:r>
        <w:rPr>
          <w:rFonts w:eastAsia="方正仿宋_GBK"/>
          <w:bCs/>
          <w:kern w:val="0"/>
          <w:sz w:val="32"/>
          <w:szCs w:val="32"/>
        </w:rPr>
        <w:t>海关关务</w:t>
      </w:r>
      <w:r>
        <w:rPr>
          <w:rFonts w:eastAsia="方正仿宋_GBK" w:hint="eastAsia"/>
          <w:bCs/>
          <w:kern w:val="0"/>
          <w:sz w:val="32"/>
          <w:szCs w:val="32"/>
        </w:rPr>
        <w:t>（项）</w:t>
      </w:r>
      <w:r>
        <w:rPr>
          <w:rFonts w:eastAsia="方正仿宋_GBK" w:hint="eastAsia"/>
          <w:kern w:val="0"/>
          <w:sz w:val="32"/>
          <w:szCs w:val="32"/>
        </w:rPr>
        <w:t>年初预算为56万元，支出决算为56万元，完成年初预算的</w:t>
      </w:r>
      <w:r>
        <w:rPr>
          <w:rFonts w:eastAsia="方正仿宋_GBK"/>
          <w:kern w:val="0"/>
          <w:sz w:val="32"/>
          <w:szCs w:val="32"/>
        </w:rPr>
        <w:t>100</w:t>
      </w:r>
      <w:r>
        <w:rPr>
          <w:rFonts w:eastAsia="方正仿宋_GBK" w:hint="eastAsia"/>
          <w:kern w:val="0"/>
          <w:sz w:val="32"/>
          <w:szCs w:val="32"/>
        </w:rPr>
        <w:t>%。</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3.</w:t>
      </w:r>
      <w:r>
        <w:rPr>
          <w:rFonts w:eastAsia="方正仿宋_GBK" w:hint="eastAsia"/>
          <w:bCs/>
          <w:kern w:val="0"/>
          <w:sz w:val="32"/>
          <w:szCs w:val="32"/>
        </w:rPr>
        <w:t>一般公共服务支出（类）海关事务（款）海关监管（项）年初预算为11.48万元，支出决算为11.48万元，</w:t>
      </w:r>
      <w:r>
        <w:rPr>
          <w:rFonts w:eastAsia="方正仿宋_GBK" w:hint="eastAsia"/>
          <w:kern w:val="0"/>
          <w:sz w:val="32"/>
          <w:szCs w:val="32"/>
        </w:rPr>
        <w:t>完成年初预算的</w:t>
      </w:r>
      <w:r>
        <w:rPr>
          <w:rFonts w:eastAsia="方正仿宋_GBK"/>
          <w:kern w:val="0"/>
          <w:sz w:val="32"/>
          <w:szCs w:val="32"/>
        </w:rPr>
        <w:t>100</w:t>
      </w:r>
      <w:r>
        <w:rPr>
          <w:rFonts w:eastAsia="方正仿宋_GBK" w:hint="eastAsia"/>
          <w:kern w:val="0"/>
          <w:sz w:val="32"/>
          <w:szCs w:val="32"/>
        </w:rPr>
        <w:t>%。</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4.</w:t>
      </w:r>
      <w:r>
        <w:rPr>
          <w:rFonts w:eastAsia="方正仿宋_GBK" w:hint="eastAsia"/>
          <w:bCs/>
          <w:kern w:val="0"/>
          <w:sz w:val="32"/>
          <w:szCs w:val="32"/>
        </w:rPr>
        <w:t>一般公共服务支出（类）海关事务（款）</w:t>
      </w:r>
      <w:r>
        <w:rPr>
          <w:rFonts w:eastAsia="方正仿宋_GBK"/>
          <w:bCs/>
          <w:kern w:val="0"/>
          <w:sz w:val="32"/>
          <w:szCs w:val="32"/>
        </w:rPr>
        <w:t>检验检疫</w:t>
      </w:r>
      <w:r>
        <w:rPr>
          <w:rFonts w:eastAsia="方正仿宋_GBK" w:hint="eastAsia"/>
          <w:bCs/>
          <w:kern w:val="0"/>
          <w:sz w:val="32"/>
          <w:szCs w:val="32"/>
        </w:rPr>
        <w:t>（项）</w:t>
      </w:r>
      <w:r>
        <w:rPr>
          <w:rFonts w:eastAsia="方正仿宋_GBK" w:hint="eastAsia"/>
          <w:kern w:val="0"/>
          <w:sz w:val="32"/>
          <w:szCs w:val="32"/>
        </w:rPr>
        <w:t>年初预算为8万元，支出决算为8万元，完成年初预算的</w:t>
      </w:r>
      <w:r>
        <w:rPr>
          <w:rFonts w:eastAsia="方正仿宋_GBK"/>
          <w:kern w:val="0"/>
          <w:sz w:val="32"/>
          <w:szCs w:val="32"/>
        </w:rPr>
        <w:t>100</w:t>
      </w:r>
      <w:r>
        <w:rPr>
          <w:rFonts w:eastAsia="方正仿宋_GBK" w:hint="eastAsia"/>
          <w:kern w:val="0"/>
          <w:sz w:val="32"/>
          <w:szCs w:val="32"/>
        </w:rPr>
        <w:t>%。</w:t>
      </w:r>
    </w:p>
    <w:p>
      <w:pPr>
        <w:tabs>
          <w:tab w:val="left" w:pos="4157"/>
        </w:tabs>
        <w:autoSpaceDN w:val="0"/>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六、一般公共预算财政拨款基本支出决算情况说明</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2022年度财政拨款基本支出</w:t>
      </w:r>
      <w:r>
        <w:rPr>
          <w:rFonts w:eastAsia="方正仿宋_GBK"/>
          <w:kern w:val="0"/>
          <w:sz w:val="32"/>
          <w:szCs w:val="32"/>
        </w:rPr>
        <w:t>1</w:t>
      </w:r>
      <w:r>
        <w:rPr>
          <w:rFonts w:eastAsia="方正仿宋_GBK" w:hint="eastAsia"/>
          <w:kern w:val="0"/>
          <w:sz w:val="32"/>
          <w:szCs w:val="32"/>
        </w:rPr>
        <w:t>,550.82万元，其中：人员经费</w:t>
      </w:r>
      <w:r>
        <w:rPr>
          <w:rFonts w:eastAsia="方正仿宋_GBK"/>
          <w:kern w:val="0"/>
          <w:sz w:val="32"/>
          <w:szCs w:val="32"/>
        </w:rPr>
        <w:t>1</w:t>
      </w:r>
      <w:r>
        <w:rPr>
          <w:rFonts w:eastAsia="方正仿宋_GBK" w:hint="eastAsia"/>
          <w:kern w:val="0"/>
          <w:sz w:val="32"/>
          <w:szCs w:val="32"/>
        </w:rPr>
        <w:t>,174.82万元，主要包括基本工资、津贴补贴、奖励金；公用经费376万元，主要包括办公费、邮电费、物业管理费、差旅费、维修（护）费、专用材料费、劳务费、委托业务费、工会经费、福利费、其他交通费用其他商品和服务支出、办公设备购置等。</w:t>
      </w:r>
    </w:p>
    <w:p>
      <w:pPr>
        <w:tabs>
          <w:tab w:val="left" w:pos="4157"/>
        </w:tabs>
        <w:autoSpaceDN w:val="0"/>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七、一般公共预算财政拨款“三公”经费支出决算情况说明</w:t>
      </w:r>
    </w:p>
    <w:p>
      <w:pPr>
        <w:autoSpaceDN w:val="0"/>
        <w:spacing w:line="560" w:lineRule="exact"/>
        <w:ind w:firstLineChars="200" w:firstLine="640"/>
        <w:rPr>
          <w:rFonts w:ascii="方正楷体_GBK" w:eastAsia="方正楷体_GBK"/>
          <w:b/>
          <w:kern w:val="0"/>
          <w:sz w:val="32"/>
          <w:szCs w:val="32"/>
        </w:rPr>
      </w:pPr>
      <w:r>
        <w:rPr>
          <w:rFonts w:ascii="方正楷体_GBK" w:eastAsia="方正楷体_GBK" w:hint="eastAsia"/>
          <w:b/>
          <w:kern w:val="0"/>
          <w:sz w:val="32"/>
          <w:szCs w:val="32"/>
        </w:rPr>
        <w:t>（一）“三公”经费财政拨款支出决算总体情况说明</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2022年度“三公”经费财政拨款支出预算为26万元，支出决算为26万元，完成预算的100%。</w:t>
      </w:r>
    </w:p>
    <w:p>
      <w:pPr>
        <w:autoSpaceDN w:val="0"/>
        <w:spacing w:line="560" w:lineRule="exact"/>
        <w:ind w:firstLineChars="200" w:firstLine="640"/>
        <w:rPr>
          <w:rFonts w:ascii="方正楷体_GBK" w:eastAsia="方正楷体_GBK"/>
          <w:b/>
          <w:kern w:val="0"/>
          <w:sz w:val="32"/>
          <w:szCs w:val="32"/>
        </w:rPr>
      </w:pPr>
      <w:r>
        <w:rPr>
          <w:rFonts w:ascii="方正楷体_GBK" w:eastAsia="方正楷体_GBK" w:hint="eastAsia"/>
          <w:b/>
          <w:kern w:val="0"/>
          <w:sz w:val="32"/>
          <w:szCs w:val="32"/>
        </w:rPr>
        <w:t>（二）“三公”经费财政拨款支出决算具体情况说明</w:t>
      </w:r>
    </w:p>
    <w:p>
      <w:pPr>
        <w:autoSpaceDN w:val="0"/>
        <w:spacing w:line="560" w:lineRule="exact"/>
        <w:ind w:firstLineChars="200" w:firstLine="640"/>
        <w:rPr>
          <w:rFonts w:eastAsia="方正仿宋_GBK"/>
          <w:sz w:val="32"/>
          <w:szCs w:val="32"/>
        </w:rPr>
      </w:pPr>
      <w:r>
        <w:rPr>
          <w:rFonts w:ascii="方正仿宋_GBK" w:eastAsia="方正仿宋_GBK" w:hint="eastAsia"/>
          <w:kern w:val="0"/>
          <w:sz w:val="32"/>
          <w:szCs w:val="32"/>
        </w:rPr>
        <w:t>公务用车运行费</w:t>
      </w:r>
      <w:r>
        <w:rPr>
          <w:rFonts w:eastAsia="方正仿宋_GBK" w:hint="eastAsia"/>
          <w:sz w:val="32"/>
          <w:szCs w:val="32"/>
        </w:rPr>
        <w:t>预算为</w:t>
      </w:r>
      <w:r>
        <w:rPr>
          <w:rFonts w:eastAsia="方正仿宋_GBK" w:hint="eastAsia"/>
          <w:kern w:val="0"/>
          <w:sz w:val="32"/>
          <w:szCs w:val="32"/>
        </w:rPr>
        <w:t>26</w:t>
      </w:r>
      <w:r>
        <w:rPr>
          <w:rFonts w:eastAsia="方正仿宋_GBK" w:hint="eastAsia"/>
          <w:sz w:val="32"/>
          <w:szCs w:val="32"/>
        </w:rPr>
        <w:t>万元，支出决算为</w:t>
      </w:r>
      <w:r>
        <w:rPr>
          <w:rFonts w:eastAsia="方正仿宋_GBK" w:hint="eastAsia"/>
          <w:kern w:val="0"/>
          <w:sz w:val="32"/>
          <w:szCs w:val="32"/>
        </w:rPr>
        <w:t>26</w:t>
      </w:r>
      <w:r>
        <w:rPr>
          <w:rFonts w:eastAsia="方正仿宋_GBK" w:hint="eastAsia"/>
          <w:sz w:val="32"/>
          <w:szCs w:val="32"/>
        </w:rPr>
        <w:t>万元，完成年初预算的</w:t>
      </w:r>
      <w:r>
        <w:rPr>
          <w:rFonts w:eastAsia="方正仿宋_GBK" w:hint="eastAsia"/>
          <w:kern w:val="0"/>
          <w:sz w:val="32"/>
          <w:szCs w:val="32"/>
        </w:rPr>
        <w:t>100%</w:t>
      </w:r>
      <w:r>
        <w:rPr>
          <w:rFonts w:eastAsia="方正仿宋_GBK" w:hint="eastAsia"/>
          <w:sz w:val="32"/>
          <w:szCs w:val="32"/>
        </w:rPr>
        <w:t>。</w:t>
      </w:r>
    </w:p>
    <w:p>
      <w:pPr>
        <w:autoSpaceDN w:val="0"/>
        <w:spacing w:line="560" w:lineRule="exact"/>
        <w:ind w:firstLineChars="200" w:firstLine="640"/>
        <w:rPr>
          <w:rFonts w:eastAsia="方正仿宋_GBK"/>
          <w:sz w:val="32"/>
          <w:szCs w:val="32"/>
        </w:rPr>
      </w:pPr>
      <w:r>
        <w:rPr>
          <w:rFonts w:eastAsia="方正仿宋_GBK" w:hint="eastAsia"/>
          <w:sz w:val="32"/>
          <w:szCs w:val="32"/>
        </w:rPr>
        <w:t>公务用车运行维护费包括</w:t>
      </w:r>
      <w:r>
        <w:rPr>
          <w:rFonts w:ascii="方正仿宋_GBK" w:eastAsia="方正仿宋_GBK" w:hint="eastAsia"/>
          <w:kern w:val="0"/>
          <w:sz w:val="32"/>
          <w:szCs w:val="32"/>
        </w:rPr>
        <w:t>重庆江北机场</w:t>
      </w:r>
      <w:r>
        <w:rPr>
          <w:rFonts w:eastAsia="方正仿宋_GBK" w:hint="eastAsia"/>
          <w:kern w:val="0"/>
          <w:sz w:val="32"/>
          <w:szCs w:val="32"/>
        </w:rPr>
        <w:t>海关</w:t>
      </w:r>
      <w:r>
        <w:rPr>
          <w:rFonts w:eastAsia="方正仿宋_GBK" w:hint="eastAsia"/>
          <w:sz w:val="32"/>
          <w:szCs w:val="32"/>
        </w:rPr>
        <w:t>按规定保留的公务用车车辆燃料费、维修费、过桥过路费、保险费等支出。截至2022年12月31日，重庆</w:t>
      </w:r>
      <w:r>
        <w:rPr>
          <w:rFonts w:ascii="方正仿宋_GBK" w:eastAsia="方正仿宋_GBK" w:hint="eastAsia"/>
          <w:kern w:val="0"/>
          <w:sz w:val="32"/>
          <w:szCs w:val="32"/>
        </w:rPr>
        <w:t>江北机场</w:t>
      </w:r>
      <w:r>
        <w:rPr>
          <w:rFonts w:eastAsia="方正仿宋_GBK" w:hint="eastAsia"/>
          <w:kern w:val="0"/>
          <w:sz w:val="32"/>
          <w:szCs w:val="32"/>
        </w:rPr>
        <w:t>海关开支财政拨款的公务用车保有量为8</w:t>
      </w:r>
      <w:r>
        <w:rPr>
          <w:rFonts w:eastAsia="方正仿宋_GBK" w:hint="eastAsia"/>
          <w:sz w:val="32"/>
          <w:szCs w:val="32"/>
        </w:rPr>
        <w:t>辆，</w:t>
      </w:r>
      <w:r>
        <w:rPr>
          <w:rFonts w:eastAsia="方正仿宋_GBK" w:hint="eastAsia"/>
          <w:kern w:val="0"/>
          <w:sz w:val="32"/>
          <w:szCs w:val="32"/>
        </w:rPr>
        <w:t>公务用车运行维护费26万元</w:t>
      </w:r>
      <w:r>
        <w:rPr>
          <w:rFonts w:eastAsia="方正仿宋_GBK" w:hint="eastAsia"/>
          <w:sz w:val="32"/>
          <w:szCs w:val="32"/>
        </w:rPr>
        <w:t>。</w:t>
      </w:r>
      <w:r>
        <w:rPr>
          <w:rFonts w:ascii="方正仿宋_GBK" w:eastAsia="方正仿宋_GBK" w:hint="eastAsia"/>
          <w:kern w:val="0"/>
          <w:sz w:val="32"/>
          <w:szCs w:val="32"/>
        </w:rPr>
        <w:t>重庆江北机场</w:t>
      </w:r>
      <w:r>
        <w:rPr>
          <w:rFonts w:eastAsia="方正仿宋_GBK" w:hint="eastAsia"/>
          <w:kern w:val="0"/>
          <w:sz w:val="32"/>
          <w:szCs w:val="32"/>
        </w:rPr>
        <w:t>海关</w:t>
      </w:r>
      <w:r>
        <w:rPr>
          <w:rFonts w:eastAsia="方正仿宋_GBK" w:hint="eastAsia"/>
          <w:sz w:val="32"/>
          <w:szCs w:val="32"/>
        </w:rPr>
        <w:t>承担着国家赋予的税收征管、贸易监管、打击走私、维护国家政治经济安全任务，点多、线长、面广。机场海关车辆均为执法执勤用车，是海关执法执勤装备，为正常开展执法执勤工作的必要保障。</w:t>
      </w:r>
    </w:p>
    <w:p>
      <w:pPr>
        <w:autoSpaceDN w:val="0"/>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八、机关运行经费支出说明</w:t>
      </w:r>
    </w:p>
    <w:p>
      <w:pPr>
        <w:autoSpaceDN w:val="0"/>
        <w:spacing w:line="560" w:lineRule="exact"/>
        <w:ind w:firstLineChars="200" w:firstLine="640"/>
        <w:rPr>
          <w:rFonts w:eastAsia="方正仿宋_GBK"/>
          <w:sz w:val="32"/>
          <w:szCs w:val="32"/>
        </w:rPr>
      </w:pPr>
      <w:r>
        <w:rPr>
          <w:rFonts w:ascii="方正仿宋_GBK" w:eastAsia="方正仿宋_GBK" w:hint="eastAsia"/>
          <w:kern w:val="0"/>
          <w:sz w:val="32"/>
          <w:szCs w:val="32"/>
        </w:rPr>
        <w:t>重庆江北机场</w:t>
      </w:r>
      <w:r>
        <w:rPr>
          <w:rFonts w:eastAsia="方正仿宋_GBK" w:hint="eastAsia"/>
          <w:sz w:val="32"/>
          <w:szCs w:val="32"/>
        </w:rPr>
        <w:t>海关</w:t>
      </w:r>
      <w:r>
        <w:rPr>
          <w:rFonts w:eastAsia="方正仿宋_GBK"/>
          <w:kern w:val="0"/>
          <w:sz w:val="32"/>
          <w:szCs w:val="32"/>
        </w:rPr>
        <w:t>202</w:t>
      </w:r>
      <w:r>
        <w:rPr>
          <w:rFonts w:eastAsia="方正仿宋_GBK" w:hint="eastAsia"/>
          <w:kern w:val="0"/>
          <w:sz w:val="32"/>
          <w:szCs w:val="32"/>
        </w:rPr>
        <w:t>2</w:t>
      </w:r>
      <w:r>
        <w:rPr>
          <w:rFonts w:eastAsia="方正仿宋_GBK"/>
          <w:kern w:val="0"/>
          <w:sz w:val="32"/>
          <w:szCs w:val="32"/>
        </w:rPr>
        <w:t>年</w:t>
      </w:r>
      <w:r>
        <w:rPr>
          <w:rFonts w:eastAsia="方正仿宋_GBK" w:hint="eastAsia"/>
          <w:kern w:val="0"/>
          <w:sz w:val="32"/>
          <w:szCs w:val="32"/>
        </w:rPr>
        <w:t>度机关运行经费支出376万元，比2021年增加132.38万元，</w:t>
      </w:r>
      <w:r>
        <w:rPr>
          <w:rFonts w:eastAsia="方正仿宋_GBK" w:hint="eastAsia"/>
          <w:sz w:val="32"/>
          <w:szCs w:val="32"/>
        </w:rPr>
        <w:t>主要</w:t>
      </w:r>
      <w:r>
        <w:rPr>
          <w:rFonts w:eastAsia="方正仿宋_GBK"/>
          <w:sz w:val="32"/>
          <w:szCs w:val="32"/>
        </w:rPr>
        <w:t>原因是</w:t>
      </w:r>
      <w:r>
        <w:rPr>
          <w:rFonts w:eastAsia="方正仿宋_GBK" w:hint="eastAsia"/>
          <w:sz w:val="32"/>
          <w:szCs w:val="32"/>
        </w:rPr>
        <w:t>2022年增加的新冠疫情防控支出较多。</w:t>
      </w:r>
    </w:p>
    <w:p>
      <w:pPr>
        <w:autoSpaceDN w:val="0"/>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九、政府采购支出说明</w:t>
      </w:r>
    </w:p>
    <w:p>
      <w:pPr>
        <w:autoSpaceDE w:val="0"/>
        <w:autoSpaceDN w:val="0"/>
        <w:adjustRightInd w:val="0"/>
        <w:spacing w:line="560" w:lineRule="exact"/>
        <w:jc w:val="left"/>
        <w:rPr>
          <w:rFonts w:eastAsia="方正仿宋_GBK"/>
          <w:kern w:val="0"/>
          <w:sz w:val="32"/>
          <w:szCs w:val="32"/>
        </w:rPr>
      </w:pPr>
      <w:r>
        <w:rPr>
          <w:rFonts w:ascii="方正仿宋_GBK" w:eastAsia="方正仿宋_GBK" w:hint="eastAsia"/>
          <w:kern w:val="0"/>
          <w:sz w:val="32"/>
          <w:szCs w:val="32"/>
        </w:rPr>
        <w:t xml:space="preserve">    重庆江北机场</w:t>
      </w:r>
      <w:r>
        <w:rPr>
          <w:rFonts w:eastAsia="方正仿宋_GBK" w:hint="eastAsia"/>
          <w:sz w:val="32"/>
          <w:szCs w:val="32"/>
        </w:rPr>
        <w:t>海关</w:t>
      </w:r>
      <w:r>
        <w:rPr>
          <w:rFonts w:eastAsia="方正仿宋_GBK" w:hint="eastAsia"/>
          <w:kern w:val="0"/>
          <w:sz w:val="32"/>
          <w:szCs w:val="32"/>
        </w:rPr>
        <w:t>2022年度政府采购支出总额27.33万元，其中：政府采购货物支出27.33万元。授予中小企业合同金额25.69万元，占政府采购支出总额的94%。其中授予小微企业合同金额1.68万元，占授予中小企业合同金额的6.54%；货物采购授予中小企业合同金额占货物支出金额的94%。</w:t>
      </w:r>
    </w:p>
    <w:p>
      <w:pPr>
        <w:autoSpaceDN w:val="0"/>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十、国有资产占用情况说明</w:t>
      </w:r>
    </w:p>
    <w:p>
      <w:pPr>
        <w:autoSpaceDN w:val="0"/>
        <w:spacing w:line="560" w:lineRule="exact"/>
        <w:ind w:firstLineChars="200" w:firstLine="640"/>
        <w:rPr>
          <w:rFonts w:eastAsia="方正仿宋_GBK"/>
          <w:color w:val="FF0000"/>
          <w:kern w:val="0"/>
          <w:sz w:val="32"/>
          <w:szCs w:val="32"/>
        </w:rPr>
      </w:pPr>
      <w:r>
        <w:rPr>
          <w:rFonts w:eastAsia="方正仿宋_GBK" w:hint="eastAsia"/>
          <w:kern w:val="0"/>
          <w:sz w:val="32"/>
          <w:szCs w:val="32"/>
        </w:rPr>
        <w:t>截至2022年12月31日，</w:t>
      </w:r>
      <w:r>
        <w:rPr>
          <w:rFonts w:ascii="方正仿宋_GBK" w:eastAsia="方正仿宋_GBK" w:hint="eastAsia"/>
          <w:kern w:val="0"/>
          <w:sz w:val="32"/>
          <w:szCs w:val="32"/>
        </w:rPr>
        <w:t>重庆江北机场</w:t>
      </w:r>
      <w:r>
        <w:rPr>
          <w:rFonts w:eastAsia="方正仿宋_GBK" w:hint="eastAsia"/>
          <w:sz w:val="32"/>
          <w:szCs w:val="32"/>
        </w:rPr>
        <w:t>海关</w:t>
      </w:r>
      <w:r>
        <w:rPr>
          <w:rFonts w:eastAsia="方正仿宋_GBK" w:hint="eastAsia"/>
          <w:kern w:val="0"/>
          <w:sz w:val="32"/>
          <w:szCs w:val="32"/>
        </w:rPr>
        <w:t>共有车辆8辆（台），其中：执法执勤用车8辆。单价</w:t>
      </w:r>
      <w:r>
        <w:rPr>
          <w:rFonts w:eastAsia="方正仿宋_GBK"/>
          <w:kern w:val="0"/>
          <w:sz w:val="32"/>
          <w:szCs w:val="32"/>
        </w:rPr>
        <w:t>50</w:t>
      </w:r>
      <w:r>
        <w:rPr>
          <w:rFonts w:eastAsia="方正仿宋_GBK" w:hint="eastAsia"/>
          <w:kern w:val="0"/>
          <w:sz w:val="32"/>
          <w:szCs w:val="32"/>
        </w:rPr>
        <w:t>万元（含）以上的通用设备</w:t>
      </w:r>
      <w:r>
        <w:rPr>
          <w:rFonts w:eastAsia="方正仿宋_GBK"/>
          <w:kern w:val="0"/>
          <w:sz w:val="32"/>
          <w:szCs w:val="32"/>
        </w:rPr>
        <w:t>1</w:t>
      </w:r>
      <w:r>
        <w:rPr>
          <w:rFonts w:eastAsia="方正仿宋_GBK" w:hint="eastAsia"/>
          <w:kern w:val="0"/>
          <w:sz w:val="32"/>
          <w:szCs w:val="32"/>
        </w:rPr>
        <w:t>台（套），单价</w:t>
      </w:r>
      <w:r>
        <w:rPr>
          <w:rFonts w:eastAsia="方正仿宋_GBK"/>
          <w:kern w:val="0"/>
          <w:sz w:val="32"/>
          <w:szCs w:val="32"/>
        </w:rPr>
        <w:t>100</w:t>
      </w:r>
      <w:r>
        <w:rPr>
          <w:rFonts w:eastAsia="方正仿宋_GBK" w:hint="eastAsia"/>
          <w:kern w:val="0"/>
          <w:sz w:val="32"/>
          <w:szCs w:val="32"/>
        </w:rPr>
        <w:t>万元（含）以上的专用设备</w:t>
      </w:r>
      <w:r>
        <w:rPr>
          <w:rFonts w:eastAsia="方正仿宋_GBK"/>
          <w:kern w:val="0"/>
          <w:sz w:val="32"/>
          <w:szCs w:val="32"/>
        </w:rPr>
        <w:t>6</w:t>
      </w:r>
      <w:r>
        <w:rPr>
          <w:rFonts w:eastAsia="方正仿宋_GBK" w:hint="eastAsia"/>
          <w:kern w:val="0"/>
          <w:sz w:val="32"/>
          <w:szCs w:val="32"/>
        </w:rPr>
        <w:t>台（套）。</w:t>
      </w:r>
    </w:p>
    <w:p>
      <w:pPr>
        <w:autoSpaceDN w:val="0"/>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十一、预算绩效情况说明</w:t>
      </w:r>
    </w:p>
    <w:p>
      <w:pPr>
        <w:autoSpaceDN w:val="0"/>
        <w:spacing w:line="560" w:lineRule="exact"/>
        <w:ind w:firstLineChars="200" w:firstLine="640"/>
        <w:rPr>
          <w:rFonts w:ascii="方正楷体_GBK" w:eastAsia="方正楷体_GBK"/>
          <w:b/>
          <w:kern w:val="0"/>
          <w:sz w:val="32"/>
          <w:szCs w:val="32"/>
        </w:rPr>
      </w:pPr>
      <w:r>
        <w:rPr>
          <w:rFonts w:ascii="方正楷体_GBK" w:eastAsia="方正楷体_GBK" w:hint="eastAsia"/>
          <w:b/>
          <w:kern w:val="0"/>
          <w:sz w:val="32"/>
          <w:szCs w:val="32"/>
        </w:rPr>
        <w:t>（一）预算绩效管理工作开展情况</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根据预算绩效管理工作要求，我关组织对2022年度一般公共预算项目支出全面开展绩效自评，其中，一级项目3个，二级项目5个，共涉及资金75.48万元，占一般公共预算项目支出总额的</w:t>
      </w:r>
      <w:r>
        <w:rPr>
          <w:rFonts w:eastAsia="方正仿宋_GBK"/>
          <w:kern w:val="0"/>
          <w:sz w:val="32"/>
          <w:szCs w:val="32"/>
        </w:rPr>
        <w:t>100</w:t>
      </w:r>
      <w:r>
        <w:rPr>
          <w:rFonts w:eastAsia="方正仿宋_GBK" w:hint="eastAsia"/>
          <w:kern w:val="0"/>
          <w:sz w:val="32"/>
          <w:szCs w:val="32"/>
        </w:rPr>
        <w:t>%。</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从评价情况来看，项目立项程序规范完整，论证充分；绩效目标设置较为合理；项目业务管理制度基本健全，质量管控措施有效，业务工作有序开展；项目财务管理制度较为完善，资金使用规范有效；项目完成预期绩效目标，产出质量达到标准要求和预期效果。</w:t>
      </w:r>
    </w:p>
    <w:p>
      <w:pPr>
        <w:autoSpaceDN w:val="0"/>
        <w:spacing w:line="560" w:lineRule="exact"/>
        <w:ind w:firstLineChars="200" w:firstLine="640"/>
        <w:rPr>
          <w:rFonts w:ascii="方正楷体_GBK" w:eastAsia="方正楷体_GBK"/>
          <w:b/>
          <w:kern w:val="0"/>
          <w:sz w:val="32"/>
          <w:szCs w:val="32"/>
        </w:rPr>
      </w:pPr>
      <w:r>
        <w:rPr>
          <w:rFonts w:ascii="方正楷体_GBK" w:eastAsia="方正楷体_GBK" w:hint="eastAsia"/>
          <w:b/>
          <w:kern w:val="0"/>
          <w:sz w:val="32"/>
          <w:szCs w:val="32"/>
        </w:rPr>
        <w:t>（二）部门决算中项目绩效自评结果</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海关业务保障及能力提升专项项目绩效自评综述：根据年初设定的绩效目标，项目自评得分为</w:t>
      </w:r>
      <w:r>
        <w:rPr>
          <w:rFonts w:eastAsia="方正仿宋_GBK"/>
          <w:kern w:val="0"/>
          <w:sz w:val="32"/>
          <w:szCs w:val="32"/>
        </w:rPr>
        <w:t>100</w:t>
      </w:r>
      <w:r>
        <w:rPr>
          <w:rFonts w:eastAsia="方正仿宋_GBK" w:hint="eastAsia"/>
          <w:kern w:val="0"/>
          <w:sz w:val="32"/>
          <w:szCs w:val="32"/>
        </w:rPr>
        <w:t>分。全年预算数56万元，执行数为56万元，完成预算的</w:t>
      </w:r>
      <w:r>
        <w:rPr>
          <w:rFonts w:eastAsia="方正仿宋_GBK"/>
          <w:kern w:val="0"/>
          <w:sz w:val="32"/>
          <w:szCs w:val="32"/>
        </w:rPr>
        <w:t>100%</w:t>
      </w:r>
      <w:r>
        <w:rPr>
          <w:rFonts w:eastAsia="方正仿宋_GBK" w:hint="eastAsia"/>
          <w:kern w:val="0"/>
          <w:sz w:val="32"/>
          <w:szCs w:val="32"/>
        </w:rPr>
        <w:t>。项目绩效目标完成情况：保障了机场海关各业务现场的公务用车日常运转，保障了业务所需技术支持及物资储备，降低了因保障能力不足导致的执法差错率，提高了整体工作效率。</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监管查验技术设备购建及能力提升专项项目绩效自评综述：根据年初设定的绩效目标，项目自评得分为</w:t>
      </w:r>
      <w:r>
        <w:rPr>
          <w:rFonts w:eastAsia="方正仿宋_GBK"/>
          <w:kern w:val="0"/>
          <w:sz w:val="32"/>
          <w:szCs w:val="32"/>
        </w:rPr>
        <w:t>100</w:t>
      </w:r>
      <w:r>
        <w:rPr>
          <w:rFonts w:eastAsia="方正仿宋_GBK" w:hint="eastAsia"/>
          <w:kern w:val="0"/>
          <w:sz w:val="32"/>
          <w:szCs w:val="32"/>
        </w:rPr>
        <w:t>分。全年预算数</w:t>
      </w:r>
      <w:r>
        <w:rPr>
          <w:rFonts w:eastAsia="方正仿宋_GBK"/>
          <w:kern w:val="0"/>
          <w:sz w:val="32"/>
          <w:szCs w:val="32"/>
        </w:rPr>
        <w:t>10.48</w:t>
      </w:r>
      <w:r>
        <w:rPr>
          <w:rFonts w:eastAsia="方正仿宋_GBK" w:hint="eastAsia"/>
          <w:kern w:val="0"/>
          <w:sz w:val="32"/>
          <w:szCs w:val="32"/>
        </w:rPr>
        <w:t>万元，执行数为</w:t>
      </w:r>
      <w:r>
        <w:rPr>
          <w:rFonts w:eastAsia="方正仿宋_GBK"/>
          <w:kern w:val="0"/>
          <w:sz w:val="32"/>
          <w:szCs w:val="32"/>
        </w:rPr>
        <w:t>10.48</w:t>
      </w:r>
      <w:r>
        <w:rPr>
          <w:rFonts w:eastAsia="方正仿宋_GBK" w:hint="eastAsia"/>
          <w:kern w:val="0"/>
          <w:sz w:val="32"/>
          <w:szCs w:val="32"/>
        </w:rPr>
        <w:t>万元，完成预算的</w:t>
      </w:r>
      <w:r>
        <w:rPr>
          <w:rFonts w:eastAsia="方正仿宋_GBK"/>
          <w:kern w:val="0"/>
          <w:sz w:val="32"/>
          <w:szCs w:val="32"/>
        </w:rPr>
        <w:t>100%</w:t>
      </w:r>
      <w:r>
        <w:rPr>
          <w:rFonts w:eastAsia="方正仿宋_GBK" w:hint="eastAsia"/>
          <w:kern w:val="0"/>
          <w:sz w:val="32"/>
          <w:szCs w:val="32"/>
        </w:rPr>
        <w:t>。项目绩效目标完成情况：工作犬各项工作平稳开展，口岸防控水平逐步提升，各监管设备稳定运行。</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口岸公共卫生安全专项项目绩效自评综述：根据年初设定的绩效目标，项目自评得分为</w:t>
      </w:r>
      <w:r>
        <w:rPr>
          <w:rFonts w:eastAsia="方正仿宋_GBK"/>
          <w:kern w:val="0"/>
          <w:sz w:val="32"/>
          <w:szCs w:val="32"/>
        </w:rPr>
        <w:t>100</w:t>
      </w:r>
      <w:r>
        <w:rPr>
          <w:rFonts w:eastAsia="方正仿宋_GBK" w:hint="eastAsia"/>
          <w:kern w:val="0"/>
          <w:sz w:val="32"/>
          <w:szCs w:val="32"/>
        </w:rPr>
        <w:t>分。全年预算数6万元，执行数为6万元，完成预算的</w:t>
      </w:r>
      <w:r>
        <w:rPr>
          <w:rFonts w:eastAsia="方正仿宋_GBK"/>
          <w:kern w:val="0"/>
          <w:sz w:val="32"/>
          <w:szCs w:val="32"/>
        </w:rPr>
        <w:t>100%</w:t>
      </w:r>
      <w:r>
        <w:rPr>
          <w:rFonts w:eastAsia="方正仿宋_GBK" w:hint="eastAsia"/>
          <w:kern w:val="0"/>
          <w:sz w:val="32"/>
          <w:szCs w:val="32"/>
        </w:rPr>
        <w:t>。项目绩效目标完成情况：口岸食品、饮用水、公共场所卫生安全抽样所需物资保障充足；重大传染病卫生处理物资、快速检测物资、应急物资储备齐全；完成重大传染病培训演练计划和防制宣传，口岸重大烈性传染病防控能力得到提升；对人员开展技能培训，提升综合素质及服务意识，服务对象满意度得到提高。</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进出口商品质量安全检验监管专项项目绩效自评综述：根据年初设定的绩效目标，项目自评得分为</w:t>
      </w:r>
      <w:r>
        <w:rPr>
          <w:rFonts w:eastAsia="方正仿宋_GBK"/>
          <w:kern w:val="0"/>
          <w:sz w:val="32"/>
          <w:szCs w:val="32"/>
        </w:rPr>
        <w:t>100</w:t>
      </w:r>
      <w:r>
        <w:rPr>
          <w:rFonts w:eastAsia="方正仿宋_GBK" w:hint="eastAsia"/>
          <w:kern w:val="0"/>
          <w:sz w:val="32"/>
          <w:szCs w:val="32"/>
        </w:rPr>
        <w:t>分。全年预算数2万元，执行数为2万元，完成预算的</w:t>
      </w:r>
      <w:r>
        <w:rPr>
          <w:rFonts w:eastAsia="方正仿宋_GBK"/>
          <w:kern w:val="0"/>
          <w:sz w:val="32"/>
          <w:szCs w:val="32"/>
        </w:rPr>
        <w:t>100%</w:t>
      </w:r>
      <w:r>
        <w:rPr>
          <w:rFonts w:eastAsia="方正仿宋_GBK" w:hint="eastAsia"/>
          <w:kern w:val="0"/>
          <w:sz w:val="32"/>
          <w:szCs w:val="32"/>
        </w:rPr>
        <w:t>。项目绩效目标完成情况：连续开展进出口商品抽样检测，提升现场关员业务水平及执法效能，总结提炼商品质量安全风险点，确保系统风险可控，杜绝重大质量安全事故，实现重庆江北机场口岸进出口商品质量安全总体可控。</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企业管理及稽查专项项目绩效自评综述：根据年初设定的绩效目标，项目自评得分为</w:t>
      </w:r>
      <w:r>
        <w:rPr>
          <w:rFonts w:eastAsia="方正仿宋_GBK"/>
          <w:kern w:val="0"/>
          <w:sz w:val="32"/>
          <w:szCs w:val="32"/>
        </w:rPr>
        <w:t>100</w:t>
      </w:r>
      <w:r>
        <w:rPr>
          <w:rFonts w:eastAsia="方正仿宋_GBK" w:hint="eastAsia"/>
          <w:kern w:val="0"/>
          <w:sz w:val="32"/>
          <w:szCs w:val="32"/>
        </w:rPr>
        <w:t>分。全年预算数1万元，执行数为1万元，完成预算的</w:t>
      </w:r>
      <w:r>
        <w:rPr>
          <w:rFonts w:eastAsia="方正仿宋_GBK"/>
          <w:kern w:val="0"/>
          <w:sz w:val="32"/>
          <w:szCs w:val="32"/>
        </w:rPr>
        <w:t>100%</w:t>
      </w:r>
      <w:r>
        <w:rPr>
          <w:rFonts w:eastAsia="方正仿宋_GBK" w:hint="eastAsia"/>
          <w:kern w:val="0"/>
          <w:sz w:val="32"/>
          <w:szCs w:val="32"/>
        </w:rPr>
        <w:t>。项目绩效目标完成情况：对关区内报税业务经营单位企业负责人及其代理人进行上门业务再培训，规范作业流程，梳理监管流程，让企业更加熟悉保税管理规范，让监管双方对保税监管日常管理达到新的认识。</w:t>
      </w: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p>
      <w:pPr>
        <w:widowControl/>
        <w:jc w:val="left"/>
        <w:rPr>
          <w:rFonts w:eastAsia="方正仿宋_GBK"/>
          <w:kern w:val="0"/>
          <w:sz w:val="32"/>
          <w:szCs w:val="32"/>
        </w:rPr>
      </w:pPr>
    </w:p>
    <w:tbl>
      <w:tblPr>
        <w:jc w:val="left"/>
        <w:tblInd w:w="93" w:type="dxa"/>
        <w:tblW w:w="9499"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20"/>
        <w:gridCol w:w="980"/>
        <w:gridCol w:w="865"/>
        <w:gridCol w:w="1015"/>
        <w:gridCol w:w="1060"/>
        <w:gridCol w:w="1060"/>
        <w:gridCol w:w="1486"/>
        <w:gridCol w:w="637"/>
        <w:gridCol w:w="833"/>
        <w:gridCol w:w="405"/>
        <w:gridCol w:w="740"/>
      </w:tblGrid>
      <w:tr>
        <w:trPr>
          <w:trHeight w:val="405"/>
        </w:trPr>
        <w:tc>
          <w:tcPr>
            <w:tcW w:w="9499" w:type="dxa"/>
            <w:gridSpan w:val="11"/>
            <w:tcBorders>
              <w:top w:val="nil"/>
              <w:left w:val="nil"/>
              <w:bottom w:val="nil"/>
              <w:right w:val="nil"/>
            </w:tcBorders>
            <w:shd w:val="clear" w:color="auto" w:fill="auto"/>
            <w:noWrap/>
            <w:vAlign w:val="center"/>
          </w:tcPr>
          <w:p>
            <w:pPr>
              <w:widowControl/>
              <w:jc w:val="center"/>
              <w:rPr>
                <w:rFonts w:ascii="宋体" w:cs="Arial"/>
                <w:b/>
                <w:bCs/>
                <w:kern w:val="0"/>
                <w:sz w:val="32"/>
                <w:szCs w:val="32"/>
              </w:rPr>
            </w:pPr>
          </w:p>
          <w:p>
            <w:pPr>
              <w:widowControl/>
              <w:jc w:val="center"/>
              <w:rPr>
                <w:rFonts w:ascii="宋体" w:cs="Arial"/>
                <w:b/>
                <w:bCs/>
                <w:kern w:val="0"/>
                <w:sz w:val="32"/>
                <w:szCs w:val="32"/>
              </w:rPr>
            </w:pPr>
            <w:r>
              <w:rPr>
                <w:rFonts w:ascii="宋体" w:cs="Arial" w:hint="eastAsia"/>
                <w:b/>
                <w:bCs/>
                <w:kern w:val="0"/>
                <w:sz w:val="32"/>
                <w:szCs w:val="32"/>
              </w:rPr>
              <w:t>海关业务保障及能力提升专项绩效自评表</w:t>
            </w:r>
          </w:p>
        </w:tc>
      </w:tr>
      <w:tr>
        <w:trPr>
          <w:trHeight w:val="270"/>
        </w:trPr>
        <w:tc>
          <w:tcPr>
            <w:tcW w:w="9499" w:type="dxa"/>
            <w:gridSpan w:val="11"/>
            <w:tcBorders>
              <w:top w:val="nil"/>
              <w:left w:val="nil"/>
              <w:bottom w:val="nil"/>
              <w:right w:val="nil"/>
            </w:tcBorders>
            <w:shd w:val="clear" w:color="auto" w:fill="auto"/>
            <w:noWrap/>
            <w:vAlign w:val="center"/>
          </w:tcPr>
          <w:p>
            <w:pPr>
              <w:widowControl/>
              <w:jc w:val="center"/>
              <w:rPr>
                <w:rFonts w:ascii="宋体" w:cs="Arial"/>
                <w:kern w:val="0"/>
                <w:sz w:val="22"/>
                <w:szCs w:val="22"/>
              </w:rPr>
            </w:pPr>
            <w:r>
              <w:rPr>
                <w:rFonts w:ascii="宋体" w:cs="Arial" w:hint="eastAsia"/>
                <w:kern w:val="0"/>
                <w:sz w:val="22"/>
                <w:szCs w:val="22"/>
              </w:rPr>
              <w:t>2022年度</w:t>
            </w:r>
          </w:p>
        </w:tc>
      </w:tr>
      <w:tr>
        <w:trPr>
          <w:trHeight w:val="255"/>
        </w:trPr>
        <w:tc>
          <w:tcPr>
            <w:tcW w:w="4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65"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15"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485"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37"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33"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405"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r>
        <w:trPr>
          <w:trHeight w:val="379"/>
        </w:trPr>
        <w:tc>
          <w:tcPr>
            <w:tcW w:w="1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项目名称</w:t>
            </w:r>
          </w:p>
        </w:tc>
        <w:tc>
          <w:tcPr>
            <w:tcW w:w="810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海关业务保障及能力提升专项</w:t>
            </w:r>
          </w:p>
        </w:tc>
      </w:tr>
      <w:tr>
        <w:trPr>
          <w:trHeight w:val="379"/>
        </w:trPr>
        <w:tc>
          <w:tcPr>
            <w:tcW w:w="1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主管部门</w:t>
            </w:r>
          </w:p>
        </w:tc>
        <w:tc>
          <w:tcPr>
            <w:tcW w:w="2940"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167 海关总署</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实施单位</w:t>
            </w:r>
          </w:p>
        </w:tc>
        <w:tc>
          <w:tcPr>
            <w:tcW w:w="410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中华人民共和国重庆江北机场海关</w:t>
            </w:r>
          </w:p>
        </w:tc>
      </w:tr>
      <w:tr>
        <w:trPr>
          <w:trHeight w:val="255"/>
        </w:trPr>
        <w:tc>
          <w:tcPr>
            <w:tcW w:w="140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项目资金</w:t>
              <w:br/>
              <w:t>（万元）</w:t>
            </w:r>
          </w:p>
        </w:tc>
        <w:tc>
          <w:tcPr>
            <w:tcW w:w="18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年初预算数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全年预算数</w:t>
            </w:r>
          </w:p>
        </w:tc>
        <w:tc>
          <w:tcPr>
            <w:tcW w:w="148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全年执行数</w:t>
            </w:r>
          </w:p>
        </w:tc>
        <w:tc>
          <w:tcPr>
            <w:tcW w:w="637"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1238"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执行率</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8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年度资金总额：</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56.00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56.00</w:t>
            </w:r>
          </w:p>
        </w:tc>
        <w:tc>
          <w:tcPr>
            <w:tcW w:w="148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56.00</w:t>
            </w:r>
          </w:p>
        </w:tc>
        <w:tc>
          <w:tcPr>
            <w:tcW w:w="637"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238"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8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其中：财政拨款</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56.00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56.00</w:t>
            </w:r>
          </w:p>
        </w:tc>
        <w:tc>
          <w:tcPr>
            <w:tcW w:w="148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56.00</w:t>
            </w:r>
          </w:p>
        </w:tc>
        <w:tc>
          <w:tcPr>
            <w:tcW w:w="637"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38"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510"/>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880" w:type="dxa"/>
            <w:gridSpan w:val="2"/>
            <w:tcBorders>
              <w:top w:val="single" w:sz="4" w:space="0" w:color="000000"/>
              <w:left w:val="nil"/>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上年结转资金</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48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637"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38"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8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其他资金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48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637"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38"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年度总体目标</w:t>
            </w:r>
          </w:p>
        </w:tc>
        <w:tc>
          <w:tcPr>
            <w:tcW w:w="4979"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预期目标</w:t>
            </w:r>
          </w:p>
        </w:tc>
        <w:tc>
          <w:tcPr>
            <w:tcW w:w="410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实际完成情况</w:t>
            </w:r>
          </w:p>
        </w:tc>
      </w:tr>
      <w:tr>
        <w:trPr>
          <w:trHeight w:val="1441"/>
        </w:trPr>
        <w:tc>
          <w:tcPr>
            <w:tcW w:w="420" w:type="dxa"/>
            <w:vMerge/>
            <w:tcBorders>
              <w:top w:val="nil"/>
              <w:left w:val="single" w:sz="4" w:space="0" w:color="000000"/>
              <w:bottom w:val="single" w:sz="4" w:space="0" w:color="000000"/>
              <w:right w:val="single" w:sz="4" w:space="0" w:color="000000"/>
            </w:tcBorders>
            <w:vAlign w:val="center"/>
          </w:tcPr>
          <w:p/>
        </w:tc>
        <w:tc>
          <w:tcPr>
            <w:tcW w:w="4979"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保障技术支持、技术能力储备；降低技术保障能力造成的执法差错率；持续提升综合能力；提高工作效率。</w:t>
            </w:r>
          </w:p>
        </w:tc>
        <w:tc>
          <w:tcPr>
            <w:tcW w:w="410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通过海关业务保障及能力提升专项，保障了机场海关各业务现场的公务用车日常运转，保障了业务所需技术支持及物资储备，降低了因保障能力不足导致的执法差错率，提高了整体工作效率。</w:t>
            </w:r>
          </w:p>
        </w:tc>
      </w:tr>
      <w:tr>
        <w:trPr>
          <w:trHeight w:val="600"/>
        </w:trPr>
        <w:tc>
          <w:tcPr>
            <w:tcW w:w="420" w:type="dxa"/>
            <w:tcBorders>
              <w:top w:val="nil"/>
              <w:left w:val="single" w:sz="4" w:space="0" w:color="000000"/>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980"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一级指标</w:t>
            </w:r>
          </w:p>
        </w:tc>
        <w:tc>
          <w:tcPr>
            <w:tcW w:w="865"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二级指标</w:t>
            </w:r>
          </w:p>
        </w:tc>
        <w:tc>
          <w:tcPr>
            <w:tcW w:w="2075" w:type="dxa"/>
            <w:gridSpan w:val="2"/>
            <w:tcBorders>
              <w:top w:val="single" w:sz="4" w:space="0" w:color="000000"/>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三级指标</w:t>
            </w:r>
          </w:p>
        </w:tc>
        <w:tc>
          <w:tcPr>
            <w:tcW w:w="1060"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年度指标值</w:t>
            </w:r>
          </w:p>
        </w:tc>
        <w:tc>
          <w:tcPr>
            <w:tcW w:w="1485"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实际完成值</w:t>
            </w:r>
          </w:p>
        </w:tc>
        <w:tc>
          <w:tcPr>
            <w:tcW w:w="637"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分值</w:t>
            </w:r>
          </w:p>
        </w:tc>
        <w:tc>
          <w:tcPr>
            <w:tcW w:w="833"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得分</w:t>
            </w:r>
          </w:p>
        </w:tc>
        <w:tc>
          <w:tcPr>
            <w:tcW w:w="1145" w:type="dxa"/>
            <w:gridSpan w:val="2"/>
            <w:tcBorders>
              <w:top w:val="single" w:sz="4" w:space="0" w:color="000000"/>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偏差原因分析及改进措施</w:t>
            </w:r>
          </w:p>
        </w:tc>
      </w:tr>
      <w:tr>
        <w:trPr>
          <w:trHeight w:val="300"/>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绩效指标</w:t>
            </w:r>
          </w:p>
        </w:tc>
        <w:tc>
          <w:tcPr>
            <w:tcW w:w="980" w:type="dxa"/>
            <w:vMerge w:val="restart"/>
            <w:tcBorders>
              <w:top w:val="nil"/>
              <w:left w:val="nil"/>
              <w:bottom w:val="nil"/>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产出指标</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数量指标</w:t>
            </w:r>
          </w:p>
        </w:tc>
        <w:tc>
          <w:tcPr>
            <w:tcW w:w="2075" w:type="dxa"/>
            <w:gridSpan w:val="2"/>
            <w:tcBorders>
              <w:top w:val="single" w:sz="4" w:space="0" w:color="000000"/>
              <w:left w:val="single" w:sz="4" w:space="0" w:color="000000"/>
              <w:bottom w:val="single" w:sz="4" w:space="0" w:color="000000"/>
              <w:right w:val="nil"/>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保障业务现场数量</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≥5个</w:t>
            </w:r>
          </w:p>
        </w:tc>
        <w:tc>
          <w:tcPr>
            <w:tcW w:w="1485"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kern w:val="0"/>
                <w:sz w:val="18"/>
                <w:szCs w:val="18"/>
              </w:rPr>
              <w:t>5</w:t>
            </w:r>
            <w:r>
              <w:rPr>
                <w:rFonts w:ascii="宋体" w:cs="Arial" w:hint="eastAsia"/>
                <w:kern w:val="0"/>
                <w:sz w:val="18"/>
                <w:szCs w:val="18"/>
              </w:rPr>
              <w:t>个</w:t>
            </w:r>
          </w:p>
        </w:tc>
        <w:tc>
          <w:tcPr>
            <w:tcW w:w="637"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15</w:t>
            </w:r>
          </w:p>
        </w:tc>
        <w:tc>
          <w:tcPr>
            <w:tcW w:w="833" w:type="dxa"/>
            <w:tcBorders>
              <w:top w:val="nil"/>
              <w:left w:val="nil"/>
              <w:bottom w:val="single" w:sz="4" w:space="0" w:color="000000"/>
              <w:right w:val="nil"/>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15</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　</w:t>
            </w:r>
          </w:p>
        </w:tc>
      </w:tr>
      <w:tr>
        <w:trPr>
          <w:trHeight w:val="471"/>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nil"/>
              <w:bottom w:val="nil"/>
              <w:right w:val="single" w:sz="4" w:space="0" w:color="000000"/>
            </w:tcBorders>
            <w:vAlign w:val="center"/>
          </w:tcPr>
          <w:p/>
        </w:tc>
        <w:tc>
          <w:tcPr>
            <w:tcW w:w="1300" w:type="dxa"/>
            <w:vMerge/>
            <w:tcBorders>
              <w:top w:val="single" w:sz="4" w:space="0" w:color="auto"/>
              <w:left w:val="single" w:sz="4" w:space="0" w:color="auto"/>
              <w:bottom w:val="single" w:sz="4" w:space="0" w:color="auto"/>
              <w:right w:val="single" w:sz="4" w:space="0" w:color="auto"/>
            </w:tcBorders>
            <w:vAlign w:val="center"/>
          </w:tcPr>
          <w:p/>
        </w:tc>
        <w:tc>
          <w:tcPr>
            <w:tcW w:w="2075" w:type="dxa"/>
            <w:gridSpan w:val="2"/>
            <w:tcBorders>
              <w:top w:val="single" w:sz="4" w:space="0" w:color="000000"/>
              <w:left w:val="single" w:sz="4" w:space="0" w:color="000000"/>
              <w:bottom w:val="single" w:sz="4" w:space="0" w:color="000000"/>
              <w:right w:val="nil"/>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完成业务培训次数</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≥2次</w:t>
            </w:r>
          </w:p>
        </w:tc>
        <w:tc>
          <w:tcPr>
            <w:tcW w:w="1485" w:type="dxa"/>
            <w:tcBorders>
              <w:top w:val="nil"/>
              <w:left w:val="nil"/>
              <w:bottom w:val="single" w:sz="4" w:space="0" w:color="000000"/>
              <w:right w:val="single" w:sz="4" w:space="0" w:color="000000"/>
            </w:tcBorders>
            <w:shd w:val="clear" w:color="auto" w:fill="auto"/>
            <w:vAlign w:val="center"/>
          </w:tcPr>
          <w:p>
            <w:pPr>
              <w:keepNext/>
              <w:keepLines/>
              <w:widowControl/>
              <w:spacing w:before="260" w:after="260" w:line="160" w:lineRule="atLeast"/>
              <w:jc w:val="center"/>
              <w:outlineLvl w:val="1"/>
              <w:rPr>
                <w:rFonts w:ascii="宋体" w:cs="Arial"/>
                <w:b/>
                <w:bCs/>
                <w:kern w:val="0"/>
                <w:sz w:val="18"/>
                <w:szCs w:val="18"/>
              </w:rPr>
            </w:pPr>
            <w:r>
              <w:rPr>
                <w:rFonts w:ascii="宋体" w:cs="Arial"/>
                <w:kern w:val="0"/>
                <w:sz w:val="18"/>
                <w:szCs w:val="18"/>
              </w:rPr>
              <w:t>8</w:t>
            </w:r>
            <w:r>
              <w:rPr>
                <w:rFonts w:ascii="宋体" w:cs="Arial" w:hint="eastAsia"/>
                <w:kern w:val="0"/>
                <w:sz w:val="18"/>
                <w:szCs w:val="18"/>
              </w:rPr>
              <w:t>次</w:t>
            </w:r>
          </w:p>
        </w:tc>
        <w:tc>
          <w:tcPr>
            <w:tcW w:w="637"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15</w:t>
            </w:r>
          </w:p>
        </w:tc>
        <w:tc>
          <w:tcPr>
            <w:tcW w:w="833" w:type="dxa"/>
            <w:tcBorders>
              <w:top w:val="nil"/>
              <w:left w:val="nil"/>
              <w:bottom w:val="single" w:sz="4" w:space="0" w:color="000000"/>
              <w:right w:val="nil"/>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15</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　</w:t>
            </w:r>
          </w:p>
        </w:tc>
      </w:tr>
      <w:tr>
        <w:trPr>
          <w:trHeight w:val="630"/>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nil"/>
              <w:bottom w:val="nil"/>
              <w:right w:val="single" w:sz="4" w:space="0" w:color="000000"/>
            </w:tcBorders>
            <w:vAlign w:val="center"/>
          </w:tcPr>
          <w:p/>
        </w:tc>
        <w:tc>
          <w:tcPr>
            <w:tcW w:w="865" w:type="dxa"/>
            <w:vMerge w:val="restart"/>
            <w:tcBorders>
              <w:top w:val="nil"/>
              <w:left w:val="single" w:sz="4" w:space="0" w:color="auto"/>
              <w:bottom w:val="single" w:sz="4" w:space="0" w:color="auto"/>
              <w:right w:val="single" w:sz="4" w:space="0" w:color="auto"/>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量指标</w:t>
            </w:r>
          </w:p>
        </w:tc>
        <w:tc>
          <w:tcPr>
            <w:tcW w:w="2075" w:type="dxa"/>
            <w:gridSpan w:val="2"/>
            <w:tcBorders>
              <w:top w:val="single" w:sz="4" w:space="0" w:color="000000"/>
              <w:left w:val="single" w:sz="4" w:space="0" w:color="000000"/>
              <w:bottom w:val="single" w:sz="4" w:space="0" w:color="000000"/>
              <w:right w:val="nil"/>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发生重大网络安全事件次数</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≤1次</w:t>
            </w:r>
          </w:p>
        </w:tc>
        <w:tc>
          <w:tcPr>
            <w:tcW w:w="1485" w:type="dxa"/>
            <w:tcBorders>
              <w:top w:val="nil"/>
              <w:left w:val="nil"/>
              <w:bottom w:val="single" w:sz="4" w:space="0" w:color="000000"/>
              <w:right w:val="single" w:sz="4" w:space="0" w:color="000000"/>
            </w:tcBorders>
            <w:shd w:val="clear" w:color="auto" w:fill="auto"/>
            <w:vAlign w:val="center"/>
          </w:tcPr>
          <w:p>
            <w:pPr>
              <w:keepNext/>
              <w:keepLines/>
              <w:widowControl/>
              <w:spacing w:before="260" w:after="260" w:line="160" w:lineRule="atLeast"/>
              <w:jc w:val="center"/>
              <w:outlineLvl w:val="1"/>
              <w:rPr>
                <w:rFonts w:ascii="宋体" w:cs="Arial"/>
                <w:b/>
                <w:bCs/>
                <w:kern w:val="0"/>
                <w:sz w:val="18"/>
                <w:szCs w:val="18"/>
              </w:rPr>
            </w:pPr>
            <w:r>
              <w:rPr>
                <w:rFonts w:ascii="宋体" w:cs="Arial"/>
                <w:kern w:val="0"/>
                <w:sz w:val="18"/>
                <w:szCs w:val="18"/>
              </w:rPr>
              <w:t>0</w:t>
            </w:r>
            <w:r>
              <w:rPr>
                <w:rFonts w:ascii="宋体" w:cs="Arial" w:hint="eastAsia"/>
                <w:kern w:val="0"/>
                <w:sz w:val="18"/>
                <w:szCs w:val="18"/>
              </w:rPr>
              <w:t>次</w:t>
            </w:r>
          </w:p>
        </w:tc>
        <w:tc>
          <w:tcPr>
            <w:tcW w:w="637"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10</w:t>
            </w:r>
          </w:p>
        </w:tc>
        <w:tc>
          <w:tcPr>
            <w:tcW w:w="833" w:type="dxa"/>
            <w:tcBorders>
              <w:top w:val="nil"/>
              <w:left w:val="nil"/>
              <w:bottom w:val="single" w:sz="4" w:space="0" w:color="000000"/>
              <w:right w:val="nil"/>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10</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　</w:t>
            </w:r>
          </w:p>
        </w:tc>
      </w:tr>
      <w:tr>
        <w:trPr>
          <w:trHeight w:val="525"/>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nil"/>
              <w:bottom w:val="nil"/>
              <w:right w:val="single" w:sz="4" w:space="0" w:color="000000"/>
            </w:tcBorders>
            <w:vAlign w:val="center"/>
          </w:tcPr>
          <w:p/>
        </w:tc>
        <w:tc>
          <w:tcPr>
            <w:tcW w:w="1300" w:type="dxa"/>
            <w:vMerge/>
            <w:tcBorders>
              <w:top w:val="nil"/>
              <w:left w:val="single" w:sz="4" w:space="0" w:color="auto"/>
              <w:bottom w:val="single" w:sz="4" w:space="0" w:color="auto"/>
              <w:right w:val="single" w:sz="4" w:space="0" w:color="auto"/>
            </w:tcBorders>
            <w:vAlign w:val="center"/>
          </w:tcPr>
          <w:p/>
        </w:tc>
        <w:tc>
          <w:tcPr>
            <w:tcW w:w="2075" w:type="dxa"/>
            <w:gridSpan w:val="2"/>
            <w:tcBorders>
              <w:top w:val="single" w:sz="4" w:space="0" w:color="000000"/>
              <w:left w:val="single" w:sz="4" w:space="0" w:color="000000"/>
              <w:bottom w:val="single" w:sz="4" w:space="0" w:color="000000"/>
              <w:right w:val="nil"/>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因保障能力造成的执法差错率</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≤10%</w:t>
            </w:r>
          </w:p>
        </w:tc>
        <w:tc>
          <w:tcPr>
            <w:tcW w:w="1485" w:type="dxa"/>
            <w:tcBorders>
              <w:top w:val="nil"/>
              <w:left w:val="nil"/>
              <w:bottom w:val="single" w:sz="4" w:space="0" w:color="000000"/>
              <w:right w:val="single" w:sz="4" w:space="0" w:color="000000"/>
            </w:tcBorders>
            <w:shd w:val="clear" w:color="auto" w:fill="auto"/>
            <w:vAlign w:val="center"/>
          </w:tcPr>
          <w:p>
            <w:pPr>
              <w:keepNext/>
              <w:keepLines/>
              <w:widowControl/>
              <w:spacing w:before="260" w:after="260" w:line="160" w:lineRule="atLeast"/>
              <w:jc w:val="center"/>
              <w:outlineLvl w:val="1"/>
              <w:rPr>
                <w:rFonts w:ascii="宋体" w:cs="Arial"/>
                <w:b/>
                <w:bCs/>
                <w:kern w:val="0"/>
                <w:sz w:val="18"/>
                <w:szCs w:val="18"/>
              </w:rPr>
            </w:pPr>
            <w:r>
              <w:rPr>
                <w:rFonts w:ascii="宋体" w:cs="Arial"/>
                <w:kern w:val="0"/>
                <w:sz w:val="18"/>
                <w:szCs w:val="18"/>
              </w:rPr>
              <w:t>0</w:t>
            </w:r>
          </w:p>
        </w:tc>
        <w:tc>
          <w:tcPr>
            <w:tcW w:w="637"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10</w:t>
            </w:r>
          </w:p>
        </w:tc>
        <w:tc>
          <w:tcPr>
            <w:tcW w:w="833" w:type="dxa"/>
            <w:tcBorders>
              <w:top w:val="nil"/>
              <w:left w:val="nil"/>
              <w:bottom w:val="single" w:sz="4" w:space="0" w:color="000000"/>
              <w:right w:val="nil"/>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10</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　</w:t>
            </w:r>
          </w:p>
        </w:tc>
      </w:tr>
      <w:tr>
        <w:trPr>
          <w:trHeight w:val="645"/>
        </w:trPr>
        <w:tc>
          <w:tcPr>
            <w:tcW w:w="420" w:type="dxa"/>
            <w:vMerge/>
            <w:tcBorders>
              <w:top w:val="nil"/>
              <w:left w:val="single" w:sz="4" w:space="0" w:color="auto"/>
              <w:bottom w:val="single" w:sz="4" w:space="0" w:color="auto"/>
              <w:right w:val="single" w:sz="4" w:space="0" w:color="auto"/>
            </w:tcBorders>
            <w:vAlign w:val="center"/>
          </w:tcP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效益指标</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社会效益指标</w:t>
            </w:r>
          </w:p>
        </w:tc>
        <w:tc>
          <w:tcPr>
            <w:tcW w:w="2075" w:type="dxa"/>
            <w:gridSpan w:val="2"/>
            <w:tcBorders>
              <w:top w:val="single" w:sz="4" w:space="0" w:color="000000"/>
              <w:left w:val="nil"/>
              <w:bottom w:val="single" w:sz="4" w:space="0" w:color="000000"/>
              <w:right w:val="nil"/>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资料用书等使用年限</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≥10年</w:t>
            </w:r>
          </w:p>
        </w:tc>
        <w:tc>
          <w:tcPr>
            <w:tcW w:w="1485" w:type="dxa"/>
            <w:tcBorders>
              <w:top w:val="nil"/>
              <w:left w:val="nil"/>
              <w:bottom w:val="single" w:sz="4" w:space="0" w:color="000000"/>
              <w:right w:val="single" w:sz="4" w:space="0" w:color="000000"/>
            </w:tcBorders>
            <w:shd w:val="clear" w:color="auto" w:fill="auto"/>
            <w:vAlign w:val="center"/>
          </w:tcPr>
          <w:p>
            <w:pPr>
              <w:keepNext/>
              <w:keepLines/>
              <w:widowControl/>
              <w:spacing w:before="260" w:after="260" w:line="160" w:lineRule="atLeast"/>
              <w:jc w:val="center"/>
              <w:outlineLvl w:val="1"/>
              <w:rPr>
                <w:rFonts w:ascii="宋体" w:cs="Arial"/>
                <w:b/>
                <w:bCs/>
                <w:kern w:val="0"/>
                <w:sz w:val="18"/>
                <w:szCs w:val="18"/>
              </w:rPr>
            </w:pPr>
            <w:r>
              <w:rPr>
                <w:rFonts w:ascii="宋体" w:cs="Arial"/>
                <w:kern w:val="0"/>
                <w:sz w:val="18"/>
                <w:szCs w:val="18"/>
              </w:rPr>
              <w:t>10</w:t>
            </w:r>
            <w:r>
              <w:rPr>
                <w:rFonts w:ascii="宋体" w:cs="Arial" w:hint="eastAsia"/>
                <w:kern w:val="0"/>
                <w:sz w:val="18"/>
                <w:szCs w:val="18"/>
              </w:rPr>
              <w:t>年</w:t>
            </w:r>
          </w:p>
        </w:tc>
        <w:tc>
          <w:tcPr>
            <w:tcW w:w="637"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15</w:t>
            </w:r>
          </w:p>
        </w:tc>
        <w:tc>
          <w:tcPr>
            <w:tcW w:w="833" w:type="dxa"/>
            <w:tcBorders>
              <w:top w:val="nil"/>
              <w:left w:val="nil"/>
              <w:bottom w:val="single" w:sz="4" w:space="0" w:color="000000"/>
              <w:right w:val="nil"/>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15</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　</w:t>
            </w:r>
          </w:p>
        </w:tc>
      </w:tr>
      <w:tr>
        <w:trPr>
          <w:trHeight w:val="482"/>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single" w:sz="4" w:space="0" w:color="auto"/>
              <w:left w:val="single" w:sz="4" w:space="0" w:color="auto"/>
              <w:bottom w:val="single" w:sz="4" w:space="0" w:color="auto"/>
              <w:right w:val="single" w:sz="4" w:space="0" w:color="auto"/>
            </w:tcBorders>
            <w:vAlign w:val="center"/>
          </w:tcPr>
          <w:p/>
        </w:tc>
        <w:tc>
          <w:tcPr>
            <w:tcW w:w="1300" w:type="dxa"/>
            <w:vMerge/>
            <w:tcBorders>
              <w:top w:val="single" w:sz="4" w:space="0" w:color="auto"/>
              <w:left w:val="single" w:sz="4" w:space="0" w:color="auto"/>
              <w:bottom w:val="single" w:sz="4" w:space="0" w:color="auto"/>
              <w:right w:val="single" w:sz="4" w:space="0" w:color="auto"/>
            </w:tcBorders>
            <w:vAlign w:val="center"/>
          </w:tcPr>
          <w:p/>
        </w:tc>
        <w:tc>
          <w:tcPr>
            <w:tcW w:w="2075" w:type="dxa"/>
            <w:gridSpan w:val="2"/>
            <w:tcBorders>
              <w:top w:val="single" w:sz="4" w:space="0" w:color="000000"/>
              <w:left w:val="nil"/>
              <w:bottom w:val="single" w:sz="4" w:space="0" w:color="000000"/>
              <w:right w:val="nil"/>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关员业务能力</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有所提升</w:t>
            </w:r>
          </w:p>
        </w:tc>
        <w:tc>
          <w:tcPr>
            <w:tcW w:w="1485" w:type="dxa"/>
            <w:tcBorders>
              <w:top w:val="nil"/>
              <w:left w:val="nil"/>
              <w:bottom w:val="single" w:sz="4" w:space="0" w:color="000000"/>
              <w:right w:val="single" w:sz="4" w:space="0" w:color="000000"/>
            </w:tcBorders>
            <w:shd w:val="clear" w:color="auto" w:fill="auto"/>
            <w:vAlign w:val="center"/>
          </w:tcPr>
          <w:p>
            <w:pPr>
              <w:keepNext/>
              <w:keepLines/>
              <w:widowControl/>
              <w:spacing w:before="260" w:after="260" w:line="160" w:lineRule="atLeast"/>
              <w:jc w:val="center"/>
              <w:outlineLvl w:val="1"/>
              <w:rPr>
                <w:rFonts w:ascii="宋体" w:cs="Arial"/>
                <w:b/>
                <w:bCs/>
                <w:kern w:val="0"/>
                <w:sz w:val="18"/>
                <w:szCs w:val="18"/>
              </w:rPr>
            </w:pPr>
            <w:r>
              <w:rPr>
                <w:rFonts w:ascii="宋体" w:cs="Arial" w:hint="eastAsia"/>
                <w:kern w:val="0"/>
                <w:sz w:val="18"/>
                <w:szCs w:val="18"/>
              </w:rPr>
              <w:t>有所提升</w:t>
            </w:r>
          </w:p>
        </w:tc>
        <w:tc>
          <w:tcPr>
            <w:tcW w:w="637"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15</w:t>
            </w:r>
          </w:p>
        </w:tc>
        <w:tc>
          <w:tcPr>
            <w:tcW w:w="833" w:type="dxa"/>
            <w:tcBorders>
              <w:top w:val="nil"/>
              <w:left w:val="nil"/>
              <w:bottom w:val="single" w:sz="4" w:space="0" w:color="000000"/>
              <w:right w:val="nil"/>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15</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　</w:t>
            </w:r>
          </w:p>
        </w:tc>
      </w:tr>
      <w:tr>
        <w:trPr>
          <w:trHeight w:val="1035"/>
        </w:trPr>
        <w:tc>
          <w:tcPr>
            <w:tcW w:w="420" w:type="dxa"/>
            <w:vMerge/>
            <w:tcBorders>
              <w:top w:val="nil"/>
              <w:left w:val="single" w:sz="4" w:space="0" w:color="auto"/>
              <w:bottom w:val="single" w:sz="4" w:space="0" w:color="auto"/>
              <w:right w:val="single" w:sz="4" w:space="0" w:color="auto"/>
            </w:tcBorders>
            <w:vAlign w:val="center"/>
          </w:tcPr>
          <w:p/>
        </w:tc>
        <w:tc>
          <w:tcPr>
            <w:tcW w:w="980" w:type="dxa"/>
            <w:tcBorders>
              <w:top w:val="nil"/>
              <w:left w:val="nil"/>
              <w:bottom w:val="single" w:sz="4" w:space="0" w:color="000000"/>
              <w:right w:val="single" w:sz="4" w:space="0" w:color="auto"/>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满意度指标</w:t>
            </w:r>
          </w:p>
        </w:tc>
        <w:tc>
          <w:tcPr>
            <w:tcW w:w="865" w:type="dxa"/>
            <w:tcBorders>
              <w:top w:val="nil"/>
              <w:left w:val="nil"/>
              <w:bottom w:val="single" w:sz="4" w:space="0" w:color="auto"/>
              <w:right w:val="single" w:sz="4" w:space="0" w:color="auto"/>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服务对象满意度指标</w:t>
            </w:r>
          </w:p>
        </w:tc>
        <w:tc>
          <w:tcPr>
            <w:tcW w:w="2075" w:type="dxa"/>
            <w:gridSpan w:val="2"/>
            <w:tcBorders>
              <w:top w:val="single" w:sz="4" w:space="0" w:color="000000"/>
              <w:left w:val="nil"/>
              <w:bottom w:val="single" w:sz="4" w:space="0" w:color="000000"/>
              <w:right w:val="nil"/>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关员对执法执勤用车保障的满意度</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≥95%</w:t>
            </w:r>
          </w:p>
        </w:tc>
        <w:tc>
          <w:tcPr>
            <w:tcW w:w="1485" w:type="dxa"/>
            <w:tcBorders>
              <w:top w:val="nil"/>
              <w:left w:val="nil"/>
              <w:bottom w:val="single" w:sz="4" w:space="0" w:color="000000"/>
              <w:right w:val="single" w:sz="4" w:space="0" w:color="000000"/>
            </w:tcBorders>
            <w:shd w:val="clear" w:color="auto" w:fill="auto"/>
            <w:vAlign w:val="center"/>
          </w:tcPr>
          <w:p>
            <w:pPr>
              <w:keepNext/>
              <w:keepLines/>
              <w:widowControl/>
              <w:spacing w:before="260" w:after="260" w:line="160" w:lineRule="atLeast"/>
              <w:jc w:val="center"/>
              <w:outlineLvl w:val="1"/>
              <w:rPr>
                <w:rFonts w:ascii="宋体" w:cs="Arial"/>
                <w:b/>
                <w:bCs/>
                <w:kern w:val="0"/>
                <w:sz w:val="18"/>
                <w:szCs w:val="18"/>
              </w:rPr>
            </w:pPr>
            <w:r>
              <w:rPr>
                <w:rFonts w:ascii="宋体" w:cs="Arial"/>
                <w:kern w:val="0"/>
                <w:sz w:val="18"/>
                <w:szCs w:val="18"/>
              </w:rPr>
              <w:t>98</w:t>
            </w:r>
            <w:r>
              <w:rPr>
                <w:rFonts w:ascii="宋体" w:cs="Arial" w:hint="eastAsia"/>
                <w:kern w:val="0"/>
                <w:sz w:val="18"/>
                <w:szCs w:val="18"/>
              </w:rPr>
              <w:t>%</w:t>
            </w:r>
          </w:p>
        </w:tc>
        <w:tc>
          <w:tcPr>
            <w:tcW w:w="637"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10</w:t>
            </w:r>
          </w:p>
        </w:tc>
        <w:tc>
          <w:tcPr>
            <w:tcW w:w="833" w:type="dxa"/>
            <w:tcBorders>
              <w:top w:val="nil"/>
              <w:left w:val="nil"/>
              <w:bottom w:val="single" w:sz="4" w:space="0" w:color="000000"/>
              <w:right w:val="nil"/>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10</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spacing w:line="160" w:lineRule="atLeast"/>
              <w:jc w:val="left"/>
              <w:rPr>
                <w:rFonts w:ascii="宋体" w:cs="Arial"/>
                <w:kern w:val="0"/>
                <w:sz w:val="18"/>
                <w:szCs w:val="18"/>
              </w:rPr>
            </w:pPr>
            <w:r>
              <w:rPr>
                <w:rFonts w:ascii="宋体" w:cs="Arial" w:hint="eastAsia"/>
                <w:kern w:val="0"/>
                <w:sz w:val="18"/>
                <w:szCs w:val="18"/>
              </w:rPr>
              <w:t>　</w:t>
            </w:r>
          </w:p>
        </w:tc>
      </w:tr>
      <w:tr>
        <w:trPr>
          <w:trHeight w:val="660"/>
        </w:trPr>
        <w:tc>
          <w:tcPr>
            <w:tcW w:w="688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总分</w:t>
            </w:r>
          </w:p>
        </w:tc>
        <w:tc>
          <w:tcPr>
            <w:tcW w:w="637"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100</w:t>
            </w:r>
          </w:p>
        </w:tc>
        <w:tc>
          <w:tcPr>
            <w:tcW w:w="833" w:type="dxa"/>
            <w:tcBorders>
              <w:top w:val="nil"/>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100.00</w:t>
            </w:r>
          </w:p>
        </w:tc>
        <w:tc>
          <w:tcPr>
            <w:tcW w:w="1145" w:type="dxa"/>
            <w:gridSpan w:val="2"/>
            <w:tcBorders>
              <w:top w:val="single" w:sz="4" w:space="0" w:color="000000"/>
              <w:left w:val="nil"/>
              <w:bottom w:val="single" w:sz="4" w:space="0" w:color="000000"/>
              <w:right w:val="single" w:sz="4" w:space="0" w:color="000000"/>
            </w:tcBorders>
            <w:shd w:val="clear" w:color="auto" w:fill="auto"/>
            <w:vAlign w:val="center"/>
          </w:tcPr>
          <w:p>
            <w:pPr>
              <w:widowControl/>
              <w:spacing w:line="160" w:lineRule="atLeast"/>
              <w:jc w:val="center"/>
              <w:rPr>
                <w:rFonts w:ascii="宋体" w:cs="Arial"/>
                <w:kern w:val="0"/>
                <w:sz w:val="18"/>
                <w:szCs w:val="18"/>
              </w:rPr>
            </w:pPr>
            <w:r>
              <w:rPr>
                <w:rFonts w:ascii="宋体" w:cs="Arial" w:hint="eastAsia"/>
                <w:kern w:val="0"/>
                <w:sz w:val="18"/>
                <w:szCs w:val="18"/>
              </w:rPr>
              <w:t>　</w:t>
            </w:r>
          </w:p>
        </w:tc>
      </w:tr>
    </w:tbl>
    <w:p>
      <w:pPr>
        <w:autoSpaceDN w:val="0"/>
        <w:ind w:firstLineChars="200" w:firstLine="640"/>
        <w:rPr>
          <w:rFonts w:ascii="宋体"/>
          <w:b/>
          <w:sz w:val="32"/>
          <w:szCs w:val="32"/>
        </w:rPr>
      </w:pPr>
    </w:p>
    <w:tbl>
      <w:tblPr>
        <w:jc w:val="left"/>
        <w:tblInd w:w="93" w:type="dxa"/>
        <w:tblW w:w="990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20"/>
        <w:gridCol w:w="980"/>
        <w:gridCol w:w="1520"/>
        <w:gridCol w:w="560"/>
        <w:gridCol w:w="1060"/>
        <w:gridCol w:w="1060"/>
        <w:gridCol w:w="1680"/>
        <w:gridCol w:w="720"/>
        <w:gridCol w:w="520"/>
        <w:gridCol w:w="640"/>
        <w:gridCol w:w="740"/>
      </w:tblGrid>
      <w:tr>
        <w:trPr>
          <w:trHeight w:val="405"/>
        </w:trPr>
        <w:tc>
          <w:tcPr>
            <w:tcW w:w="9900" w:type="dxa"/>
            <w:gridSpan w:val="11"/>
            <w:tcBorders>
              <w:top w:val="nil"/>
              <w:left w:val="nil"/>
              <w:bottom w:val="nil"/>
              <w:right w:val="nil"/>
            </w:tcBorders>
            <w:shd w:val="clear" w:color="auto" w:fill="auto"/>
            <w:noWrap/>
            <w:vAlign w:val="center"/>
          </w:tcPr>
          <w:p>
            <w:pPr>
              <w:widowControl/>
              <w:jc w:val="center"/>
              <w:rPr>
                <w:rFonts w:ascii="宋体" w:cs="Arial"/>
                <w:b/>
                <w:bCs/>
                <w:kern w:val="0"/>
                <w:sz w:val="32"/>
                <w:szCs w:val="32"/>
              </w:rPr>
            </w:pPr>
            <w:r>
              <w:rPr>
                <w:rFonts w:ascii="宋体" w:cs="Arial" w:hint="eastAsia"/>
                <w:b/>
                <w:bCs/>
                <w:kern w:val="0"/>
                <w:sz w:val="32"/>
                <w:szCs w:val="32"/>
              </w:rPr>
              <w:t>监管查验技术设备购建及能力提升专项绩效自评表</w:t>
            </w:r>
          </w:p>
        </w:tc>
      </w:tr>
      <w:tr>
        <w:trPr>
          <w:trHeight w:val="270"/>
        </w:trPr>
        <w:tc>
          <w:tcPr>
            <w:tcW w:w="9900" w:type="dxa"/>
            <w:gridSpan w:val="11"/>
            <w:tcBorders>
              <w:top w:val="nil"/>
              <w:left w:val="nil"/>
              <w:bottom w:val="nil"/>
              <w:right w:val="nil"/>
            </w:tcBorders>
            <w:shd w:val="clear" w:color="auto" w:fill="auto"/>
            <w:noWrap/>
            <w:vAlign w:val="center"/>
          </w:tcPr>
          <w:p>
            <w:pPr>
              <w:widowControl/>
              <w:jc w:val="center"/>
              <w:rPr>
                <w:rFonts w:ascii="宋体" w:cs="Arial"/>
                <w:kern w:val="0"/>
                <w:sz w:val="22"/>
                <w:szCs w:val="22"/>
              </w:rPr>
            </w:pPr>
            <w:r>
              <w:rPr>
                <w:rFonts w:ascii="宋体" w:cs="Arial" w:hint="eastAsia"/>
                <w:kern w:val="0"/>
                <w:sz w:val="22"/>
                <w:szCs w:val="22"/>
              </w:rPr>
              <w:t>2022年度</w:t>
            </w:r>
          </w:p>
        </w:tc>
      </w:tr>
      <w:tr>
        <w:trPr>
          <w:trHeight w:val="255"/>
        </w:trPr>
        <w:tc>
          <w:tcPr>
            <w:tcW w:w="4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5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6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r>
        <w:trPr>
          <w:trHeight w:val="379"/>
        </w:trPr>
        <w:tc>
          <w:tcPr>
            <w:tcW w:w="1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项目名称</w:t>
            </w:r>
          </w:p>
        </w:tc>
        <w:tc>
          <w:tcPr>
            <w:tcW w:w="850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监管查验技术设备购建及能力提升专项</w:t>
            </w:r>
          </w:p>
        </w:tc>
      </w:tr>
      <w:tr>
        <w:trPr>
          <w:trHeight w:val="379"/>
        </w:trPr>
        <w:tc>
          <w:tcPr>
            <w:tcW w:w="1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主管部门</w:t>
            </w:r>
          </w:p>
        </w:tc>
        <w:tc>
          <w:tcPr>
            <w:tcW w:w="3140"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167 海关总署</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实施单位</w:t>
            </w:r>
          </w:p>
        </w:tc>
        <w:tc>
          <w:tcPr>
            <w:tcW w:w="430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中华人民共和国重庆江北机场海关</w:t>
            </w:r>
          </w:p>
        </w:tc>
      </w:tr>
      <w:tr>
        <w:trPr>
          <w:trHeight w:val="255"/>
        </w:trPr>
        <w:tc>
          <w:tcPr>
            <w:tcW w:w="140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项目资金</w:t>
              <w:br/>
              <w:t>（万元）</w:t>
            </w:r>
          </w:p>
        </w:tc>
        <w:tc>
          <w:tcPr>
            <w:tcW w:w="20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年初预算数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全年预算数</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全年执行数</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116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执行率</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0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年度资金总额：</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10.48</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10.48</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10.48</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16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0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其中：财政拨款</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10.48</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10.48</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10.48</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16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080" w:type="dxa"/>
            <w:gridSpan w:val="2"/>
            <w:tcBorders>
              <w:top w:val="single" w:sz="4" w:space="0" w:color="000000"/>
              <w:left w:val="nil"/>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上年结转资金</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16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0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其他资金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16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年度总体目标</w:t>
            </w:r>
          </w:p>
        </w:tc>
        <w:tc>
          <w:tcPr>
            <w:tcW w:w="518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预期目标</w:t>
            </w:r>
          </w:p>
        </w:tc>
        <w:tc>
          <w:tcPr>
            <w:tcW w:w="430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实际完成情况</w:t>
            </w:r>
          </w:p>
        </w:tc>
      </w:tr>
      <w:tr>
        <w:trPr>
          <w:trHeight w:val="1902"/>
        </w:trPr>
        <w:tc>
          <w:tcPr>
            <w:tcW w:w="420" w:type="dxa"/>
            <w:vMerge/>
            <w:tcBorders>
              <w:top w:val="nil"/>
              <w:left w:val="single" w:sz="4" w:space="0" w:color="000000"/>
              <w:bottom w:val="single" w:sz="4" w:space="0" w:color="000000"/>
              <w:right w:val="single" w:sz="4" w:space="0" w:color="000000"/>
            </w:tcBorders>
            <w:vAlign w:val="center"/>
          </w:tcPr>
          <w:p/>
        </w:tc>
        <w:tc>
          <w:tcPr>
            <w:tcW w:w="518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保证工作犬正常在岗数量和工作能力，提升口岸防控水平。</w:t>
              <w:br/>
              <w:t>确保口岸监管查验设备正常运行。</w:t>
            </w:r>
          </w:p>
        </w:tc>
        <w:tc>
          <w:tcPr>
            <w:tcW w:w="430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工作犬各项工作平稳开展，口岸防控水平逐步提升，各监管设备稳定运行。</w:t>
            </w:r>
          </w:p>
        </w:tc>
      </w:tr>
      <w:tr>
        <w:trPr>
          <w:trHeight w:val="600"/>
        </w:trPr>
        <w:tc>
          <w:tcPr>
            <w:tcW w:w="420" w:type="dxa"/>
            <w:tcBorders>
              <w:top w:val="nil"/>
              <w:left w:val="single" w:sz="4" w:space="0" w:color="000000"/>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9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一级指标</w:t>
            </w:r>
          </w:p>
        </w:tc>
        <w:tc>
          <w:tcPr>
            <w:tcW w:w="1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二级指标</w:t>
            </w:r>
          </w:p>
        </w:tc>
        <w:tc>
          <w:tcPr>
            <w:tcW w:w="162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三级指标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年度指标值</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实际完成值</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偏差原因分析及改进措施</w:t>
            </w:r>
          </w:p>
        </w:tc>
      </w:tr>
      <w:tr>
        <w:trPr>
          <w:trHeight w:val="945"/>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绩效指标</w:t>
            </w:r>
          </w:p>
        </w:tc>
        <w:tc>
          <w:tcPr>
            <w:tcW w:w="98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产出指标</w:t>
            </w:r>
          </w:p>
        </w:tc>
        <w:tc>
          <w:tcPr>
            <w:tcW w:w="1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数量指标</w:t>
            </w:r>
          </w:p>
        </w:tc>
        <w:tc>
          <w:tcPr>
            <w:tcW w:w="162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保障在岗口岸监管工作用犬数量</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≥3只</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4</w:t>
            </w:r>
            <w:r>
              <w:rPr>
                <w:rFonts w:ascii="宋体" w:cs="Arial" w:hint="eastAsia"/>
                <w:kern w:val="0"/>
                <w:sz w:val="18"/>
                <w:szCs w:val="18"/>
              </w:rPr>
              <w:t>只</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20</w:t>
            </w:r>
          </w:p>
        </w:tc>
        <w:tc>
          <w:tcPr>
            <w:tcW w:w="520"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900"/>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single" w:sz="4" w:space="0" w:color="000000"/>
              <w:bottom w:val="single" w:sz="4" w:space="0" w:color="000000"/>
              <w:right w:val="single" w:sz="4" w:space="0" w:color="000000"/>
            </w:tcBorders>
            <w:vAlign w:val="center"/>
          </w:tcPr>
          <w:p/>
        </w:tc>
        <w:tc>
          <w:tcPr>
            <w:tcW w:w="1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数量指标</w:t>
            </w:r>
          </w:p>
        </w:tc>
        <w:tc>
          <w:tcPr>
            <w:tcW w:w="162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保障工作犬的数量</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≥4只</w:t>
            </w:r>
          </w:p>
        </w:tc>
        <w:tc>
          <w:tcPr>
            <w:tcW w:w="1680" w:type="dxa"/>
            <w:tcBorders>
              <w:top w:val="nil"/>
              <w:left w:val="nil"/>
              <w:bottom w:val="single" w:sz="4" w:space="0" w:color="000000"/>
              <w:right w:val="single" w:sz="4" w:space="0" w:color="000000"/>
            </w:tcBorders>
            <w:shd w:val="clear" w:color="auto" w:fill="auto"/>
            <w:vAlign w:val="center"/>
          </w:tcPr>
          <w:p>
            <w:pPr>
              <w:keepNext/>
              <w:keepLines/>
              <w:widowControl/>
              <w:spacing w:before="260" w:after="260" w:line="415" w:lineRule="auto"/>
              <w:jc w:val="center"/>
              <w:outlineLvl w:val="1"/>
              <w:rPr>
                <w:rFonts w:ascii="宋体" w:cs="Arial"/>
                <w:b/>
                <w:bCs/>
                <w:kern w:val="0"/>
                <w:sz w:val="18"/>
                <w:szCs w:val="18"/>
              </w:rPr>
            </w:pPr>
            <w:r>
              <w:rPr>
                <w:rFonts w:ascii="宋体" w:cs="Arial"/>
                <w:kern w:val="0"/>
                <w:sz w:val="18"/>
                <w:szCs w:val="18"/>
              </w:rPr>
              <w:t>4</w:t>
            </w:r>
            <w:r>
              <w:rPr>
                <w:rFonts w:ascii="宋体" w:cs="Arial" w:hint="eastAsia"/>
                <w:kern w:val="0"/>
                <w:sz w:val="18"/>
                <w:szCs w:val="18"/>
              </w:rPr>
              <w:t>只</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20</w:t>
            </w:r>
          </w:p>
        </w:tc>
        <w:tc>
          <w:tcPr>
            <w:tcW w:w="520"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1275"/>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single" w:sz="4" w:space="0" w:color="000000"/>
              <w:bottom w:val="single" w:sz="4" w:space="0" w:color="000000"/>
              <w:right w:val="single" w:sz="4" w:space="0" w:color="000000"/>
            </w:tcBorders>
            <w:vAlign w:val="center"/>
          </w:tcPr>
          <w:p/>
        </w:tc>
        <w:tc>
          <w:tcPr>
            <w:tcW w:w="1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质量指标</w:t>
            </w:r>
          </w:p>
        </w:tc>
        <w:tc>
          <w:tcPr>
            <w:tcW w:w="162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在岗口岸监管工作用犬年度复训考核合格率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≥80%</w:t>
            </w:r>
          </w:p>
        </w:tc>
        <w:tc>
          <w:tcPr>
            <w:tcW w:w="1680" w:type="dxa"/>
            <w:tcBorders>
              <w:top w:val="nil"/>
              <w:left w:val="nil"/>
              <w:bottom w:val="single" w:sz="4" w:space="0" w:color="000000"/>
              <w:right w:val="single" w:sz="4" w:space="0" w:color="000000"/>
            </w:tcBorders>
            <w:shd w:val="clear" w:color="auto" w:fill="auto"/>
            <w:vAlign w:val="center"/>
          </w:tcPr>
          <w:p>
            <w:pPr>
              <w:keepNext/>
              <w:keepLines/>
              <w:widowControl/>
              <w:spacing w:before="260" w:after="260" w:line="415" w:lineRule="auto"/>
              <w:jc w:val="center"/>
              <w:outlineLvl w:val="1"/>
              <w:rPr>
                <w:rFonts w:ascii="宋体" w:cs="Arial"/>
                <w:b/>
                <w:bCs/>
                <w:kern w:val="0"/>
                <w:sz w:val="18"/>
                <w:szCs w:val="18"/>
              </w:rPr>
            </w:pPr>
            <w:r>
              <w:rPr>
                <w:rFonts w:ascii="宋体" w:cs="Arial"/>
                <w:kern w:val="0"/>
                <w:sz w:val="18"/>
                <w:szCs w:val="18"/>
              </w:rPr>
              <w:t>100</w:t>
            </w:r>
            <w:r>
              <w:rPr>
                <w:rFonts w:ascii="宋体" w:cs="Arial" w:hint="eastAsia"/>
                <w:kern w:val="0"/>
                <w:sz w:val="18"/>
                <w:szCs w:val="18"/>
              </w:rPr>
              <w:t>%</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10</w:t>
            </w:r>
          </w:p>
        </w:tc>
        <w:tc>
          <w:tcPr>
            <w:tcW w:w="520"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1650"/>
        </w:trPr>
        <w:tc>
          <w:tcPr>
            <w:tcW w:w="420" w:type="dxa"/>
            <w:vMerge/>
            <w:tcBorders>
              <w:top w:val="nil"/>
              <w:left w:val="single" w:sz="4" w:space="0" w:color="auto"/>
              <w:bottom w:val="single" w:sz="4" w:space="0" w:color="auto"/>
              <w:right w:val="single" w:sz="4" w:space="0" w:color="auto"/>
            </w:tcBorders>
            <w:vAlign w:val="center"/>
          </w:tcPr>
          <w:p/>
        </w:tc>
        <w:tc>
          <w:tcPr>
            <w:tcW w:w="9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效益指标</w:t>
            </w:r>
          </w:p>
        </w:tc>
        <w:tc>
          <w:tcPr>
            <w:tcW w:w="1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社会效益指标</w:t>
            </w:r>
          </w:p>
        </w:tc>
        <w:tc>
          <w:tcPr>
            <w:tcW w:w="162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是否增强动植物有害生物随旅客携带物、邮寄物传入我国的防控能力</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是</w:t>
            </w:r>
          </w:p>
        </w:tc>
        <w:tc>
          <w:tcPr>
            <w:tcW w:w="1680" w:type="dxa"/>
            <w:tcBorders>
              <w:top w:val="nil"/>
              <w:left w:val="nil"/>
              <w:bottom w:val="single" w:sz="4" w:space="0" w:color="000000"/>
              <w:right w:val="single" w:sz="4" w:space="0" w:color="000000"/>
            </w:tcBorders>
            <w:shd w:val="clear" w:color="auto" w:fill="auto"/>
            <w:vAlign w:val="center"/>
          </w:tcPr>
          <w:p>
            <w:pPr>
              <w:keepNext/>
              <w:keepLines/>
              <w:widowControl/>
              <w:spacing w:before="260" w:after="260" w:line="415" w:lineRule="auto"/>
              <w:jc w:val="center"/>
              <w:outlineLvl w:val="1"/>
              <w:rPr>
                <w:rFonts w:ascii="宋体" w:cs="Arial"/>
                <w:b/>
                <w:bCs/>
                <w:kern w:val="0"/>
                <w:sz w:val="18"/>
                <w:szCs w:val="18"/>
              </w:rPr>
            </w:pPr>
            <w:r>
              <w:rPr>
                <w:rFonts w:ascii="宋体" w:cs="Arial" w:hint="eastAsia"/>
                <w:kern w:val="0"/>
                <w:sz w:val="18"/>
                <w:szCs w:val="18"/>
              </w:rPr>
              <w:t>是</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30</w:t>
            </w:r>
          </w:p>
        </w:tc>
        <w:tc>
          <w:tcPr>
            <w:tcW w:w="520"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870"/>
        </w:trPr>
        <w:tc>
          <w:tcPr>
            <w:tcW w:w="420" w:type="dxa"/>
            <w:vMerge/>
            <w:tcBorders>
              <w:top w:val="nil"/>
              <w:left w:val="single" w:sz="4" w:space="0" w:color="auto"/>
              <w:bottom w:val="single" w:sz="4" w:space="0" w:color="auto"/>
              <w:right w:val="single" w:sz="4" w:space="0" w:color="auto"/>
            </w:tcBorders>
            <w:vAlign w:val="center"/>
          </w:tcPr>
          <w:p/>
        </w:tc>
        <w:tc>
          <w:tcPr>
            <w:tcW w:w="9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满意度指标</w:t>
            </w:r>
          </w:p>
        </w:tc>
        <w:tc>
          <w:tcPr>
            <w:tcW w:w="1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服务对象满意度指标</w:t>
            </w:r>
          </w:p>
        </w:tc>
        <w:tc>
          <w:tcPr>
            <w:tcW w:w="162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进出境旅客满意度</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≥90%</w:t>
            </w:r>
          </w:p>
        </w:tc>
        <w:tc>
          <w:tcPr>
            <w:tcW w:w="1680" w:type="dxa"/>
            <w:tcBorders>
              <w:top w:val="nil"/>
              <w:left w:val="nil"/>
              <w:bottom w:val="single" w:sz="4" w:space="0" w:color="000000"/>
              <w:right w:val="single" w:sz="4" w:space="0" w:color="000000"/>
            </w:tcBorders>
            <w:shd w:val="clear" w:color="auto" w:fill="auto"/>
            <w:vAlign w:val="center"/>
          </w:tcPr>
          <w:p>
            <w:pPr>
              <w:keepNext/>
              <w:keepLines/>
              <w:widowControl/>
              <w:spacing w:before="260" w:after="260" w:line="415" w:lineRule="auto"/>
              <w:jc w:val="center"/>
              <w:outlineLvl w:val="1"/>
              <w:rPr>
                <w:rFonts w:ascii="宋体" w:cs="Arial"/>
                <w:b/>
                <w:bCs/>
                <w:kern w:val="0"/>
                <w:sz w:val="18"/>
                <w:szCs w:val="18"/>
              </w:rPr>
            </w:pPr>
            <w:r>
              <w:rPr>
                <w:rFonts w:ascii="宋体" w:cs="Arial"/>
                <w:kern w:val="0"/>
                <w:sz w:val="18"/>
                <w:szCs w:val="18"/>
              </w:rPr>
              <w:t>95</w:t>
            </w:r>
            <w:r>
              <w:rPr>
                <w:rFonts w:ascii="宋体" w:cs="Arial" w:hint="eastAsia"/>
                <w:kern w:val="0"/>
                <w:sz w:val="18"/>
                <w:szCs w:val="18"/>
              </w:rPr>
              <w:t>%</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22"/>
                <w:szCs w:val="22"/>
              </w:rPr>
            </w:pPr>
            <w:r>
              <w:rPr>
                <w:rFonts w:ascii="宋体" w:cs="Arial" w:hint="eastAsia"/>
                <w:kern w:val="0"/>
                <w:sz w:val="22"/>
                <w:szCs w:val="22"/>
              </w:rPr>
              <w:t>10</w:t>
            </w:r>
          </w:p>
        </w:tc>
        <w:tc>
          <w:tcPr>
            <w:tcW w:w="520"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379"/>
        </w:trPr>
        <w:tc>
          <w:tcPr>
            <w:tcW w:w="728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总分</w:t>
            </w:r>
          </w:p>
        </w:tc>
        <w:tc>
          <w:tcPr>
            <w:tcW w:w="7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bl>
    <w:p>
      <w:pPr>
        <w:autoSpaceDN w:val="0"/>
        <w:ind w:firstLineChars="200" w:firstLine="640"/>
        <w:rPr>
          <w:rFonts w:ascii="宋体"/>
          <w:b/>
          <w:sz w:val="32"/>
          <w:szCs w:val="32"/>
        </w:rPr>
        <w:sectPr>
          <w:pgSz w:w="11907" w:h="16840"/>
          <w:pgMar w:top="1701" w:right="1440" w:bottom="1701" w:left="1440" w:header="851" w:footer="992" w:gutter="0"/>
          <w:docGrid w:linePitch="312" w:charSpace="0"/>
        </w:sectPr>
      </w:pPr>
    </w:p>
    <w:tbl>
      <w:tblPr>
        <w:jc w:val="left"/>
        <w:tblInd w:w="93" w:type="dxa"/>
        <w:tblW w:w="976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20"/>
        <w:gridCol w:w="980"/>
        <w:gridCol w:w="1520"/>
        <w:gridCol w:w="620"/>
        <w:gridCol w:w="1060"/>
        <w:gridCol w:w="1060"/>
        <w:gridCol w:w="1435"/>
        <w:gridCol w:w="666"/>
        <w:gridCol w:w="804"/>
        <w:gridCol w:w="455"/>
        <w:gridCol w:w="740"/>
      </w:tblGrid>
      <w:tr>
        <w:trPr>
          <w:trHeight w:val="405"/>
        </w:trPr>
        <w:tc>
          <w:tcPr>
            <w:tcW w:w="9760" w:type="dxa"/>
            <w:gridSpan w:val="11"/>
            <w:tcBorders>
              <w:top w:val="nil"/>
              <w:left w:val="nil"/>
              <w:bottom w:val="nil"/>
              <w:right w:val="nil"/>
            </w:tcBorders>
            <w:shd w:val="clear" w:color="auto" w:fill="auto"/>
            <w:noWrap/>
            <w:vAlign w:val="center"/>
          </w:tcPr>
          <w:p>
            <w:pPr>
              <w:widowControl/>
              <w:jc w:val="center"/>
              <w:rPr>
                <w:rFonts w:ascii="宋体" w:cs="Arial"/>
                <w:b/>
                <w:bCs/>
                <w:kern w:val="0"/>
                <w:sz w:val="32"/>
                <w:szCs w:val="32"/>
              </w:rPr>
            </w:pPr>
            <w:r>
              <w:rPr>
                <w:rFonts w:ascii="宋体" w:cs="Arial" w:hint="eastAsia"/>
                <w:b/>
                <w:bCs/>
                <w:kern w:val="0"/>
                <w:sz w:val="32"/>
                <w:szCs w:val="32"/>
              </w:rPr>
              <w:t>口岸公共卫生安全专项绩效自评表</w:t>
            </w:r>
          </w:p>
        </w:tc>
      </w:tr>
      <w:tr>
        <w:trPr>
          <w:trHeight w:val="270"/>
        </w:trPr>
        <w:tc>
          <w:tcPr>
            <w:tcW w:w="9760" w:type="dxa"/>
            <w:gridSpan w:val="11"/>
            <w:tcBorders>
              <w:top w:val="nil"/>
              <w:left w:val="nil"/>
              <w:bottom w:val="nil"/>
              <w:right w:val="nil"/>
            </w:tcBorders>
            <w:shd w:val="clear" w:color="auto" w:fill="auto"/>
            <w:noWrap/>
            <w:vAlign w:val="center"/>
          </w:tcPr>
          <w:p>
            <w:pPr>
              <w:widowControl/>
              <w:jc w:val="center"/>
              <w:rPr>
                <w:rFonts w:ascii="宋体" w:cs="Arial"/>
                <w:kern w:val="0"/>
                <w:sz w:val="22"/>
                <w:szCs w:val="22"/>
              </w:rPr>
            </w:pPr>
            <w:r>
              <w:rPr>
                <w:rFonts w:ascii="宋体" w:cs="Arial" w:hint="eastAsia"/>
                <w:kern w:val="0"/>
                <w:sz w:val="22"/>
                <w:szCs w:val="22"/>
              </w:rPr>
              <w:t>2022年度</w:t>
            </w:r>
          </w:p>
        </w:tc>
      </w:tr>
      <w:tr>
        <w:trPr>
          <w:trHeight w:val="255"/>
        </w:trPr>
        <w:tc>
          <w:tcPr>
            <w:tcW w:w="4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5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435"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66"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04"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455"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r>
        <w:trPr>
          <w:trHeight w:val="379"/>
        </w:trPr>
        <w:tc>
          <w:tcPr>
            <w:tcW w:w="1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项目名称</w:t>
            </w:r>
          </w:p>
        </w:tc>
        <w:tc>
          <w:tcPr>
            <w:tcW w:w="836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口岸公共卫生安全专项</w:t>
            </w:r>
          </w:p>
        </w:tc>
      </w:tr>
      <w:tr>
        <w:trPr>
          <w:trHeight w:val="379"/>
        </w:trPr>
        <w:tc>
          <w:tcPr>
            <w:tcW w:w="1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主管部门</w:t>
            </w:r>
          </w:p>
        </w:tc>
        <w:tc>
          <w:tcPr>
            <w:tcW w:w="3200"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167 海关总署</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实施单位</w:t>
            </w:r>
          </w:p>
        </w:tc>
        <w:tc>
          <w:tcPr>
            <w:tcW w:w="410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中华人民共和国重庆江北机场海关</w:t>
            </w:r>
          </w:p>
        </w:tc>
      </w:tr>
      <w:tr>
        <w:trPr>
          <w:trHeight w:val="255"/>
        </w:trPr>
        <w:tc>
          <w:tcPr>
            <w:tcW w:w="140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项目资金</w:t>
              <w:br/>
              <w:t>（万元）</w:t>
            </w:r>
          </w:p>
        </w:tc>
        <w:tc>
          <w:tcPr>
            <w:tcW w:w="214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年初预算数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全年预算数</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全年执行数</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1259"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执行率</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4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年度资金总额：</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6.00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6.00</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6.00</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259"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4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其中：财政拨款</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6.00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6.00</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6.00</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59"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40" w:type="dxa"/>
            <w:gridSpan w:val="2"/>
            <w:tcBorders>
              <w:top w:val="single" w:sz="4" w:space="0" w:color="000000"/>
              <w:left w:val="nil"/>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上年结转资金</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59"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4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其他资金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59"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年度总体目标</w:t>
            </w:r>
          </w:p>
        </w:tc>
        <w:tc>
          <w:tcPr>
            <w:tcW w:w="524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预期目标</w:t>
            </w:r>
          </w:p>
        </w:tc>
        <w:tc>
          <w:tcPr>
            <w:tcW w:w="410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实际完成情况</w:t>
            </w:r>
          </w:p>
        </w:tc>
      </w:tr>
      <w:tr>
        <w:trPr>
          <w:trHeight w:val="4185"/>
        </w:trPr>
        <w:tc>
          <w:tcPr>
            <w:tcW w:w="420" w:type="dxa"/>
            <w:vMerge/>
            <w:tcBorders>
              <w:top w:val="nil"/>
              <w:left w:val="single" w:sz="4" w:space="0" w:color="000000"/>
              <w:bottom w:val="single" w:sz="4" w:space="0" w:color="000000"/>
              <w:right w:val="single" w:sz="4" w:space="0" w:color="000000"/>
            </w:tcBorders>
            <w:vAlign w:val="center"/>
          </w:tcPr>
          <w:p/>
        </w:tc>
        <w:tc>
          <w:tcPr>
            <w:tcW w:w="524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1.通过购置样本和购买试剂耗材，满足口岸食品、饮用水、公共场所卫生安全抽样需求。</w:t>
              <w:br/>
              <w:t>2.实现重大传染病卫生处理现场物资配备齐全，达到发生重大传染病时卫生处理物资保障充足。</w:t>
              <w:br/>
              <w:t>3.重大传染病快速检测物资配备齐全，达到现场进行快筛时物资保障充足。</w:t>
              <w:br/>
              <w:t>4.重大传染病应急物资储备率齐全，达到发生突发公共卫生事件时物资设备保证充足。</w:t>
              <w:br/>
              <w:t>5.实现重大传染病培训演练计划按卫生处要求完成，达到卫生处所提出的培训次数及要求。</w:t>
              <w:br/>
              <w:t>6.通过对现场及旅行社进行宣传，保证重大传染病防制宣传完成率100%。</w:t>
              <w:br/>
              <w:t>7.通过对人员技能培训，提高现场工作人员综合素质，完善现场设施设备，保障重庆口岸能有效处置重大烈性传染病。</w:t>
              <w:br/>
              <w:t>8.通关进行现场演练及培训，提升口岸重大烈性传染病防控能力。</w:t>
              <w:br/>
              <w:t>9.通过严格要求现场关员综合素质及服务意识，达到进出出境人员满意度90%以上。</w:t>
            </w:r>
          </w:p>
        </w:tc>
        <w:tc>
          <w:tcPr>
            <w:tcW w:w="410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口岸食品、饮用水、公共场所卫生安全抽样所需物资保障充足；重大传染病卫生处理物资、快速检测物资、应急物资储备齐全；完成重大传染病培训演练计划和防制宣传，口岸重大烈性传染病防控能力得到提升；对人员开展技能培训，提升综合素质及服务意识，服务对象满意度得到提高。</w:t>
            </w:r>
          </w:p>
        </w:tc>
      </w:tr>
      <w:tr>
        <w:trPr>
          <w:trHeight w:val="469"/>
        </w:trPr>
        <w:tc>
          <w:tcPr>
            <w:tcW w:w="420" w:type="dxa"/>
            <w:tcBorders>
              <w:top w:val="nil"/>
              <w:left w:val="single" w:sz="4" w:space="0" w:color="000000"/>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9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一级指标</w:t>
            </w:r>
          </w:p>
        </w:tc>
        <w:tc>
          <w:tcPr>
            <w:tcW w:w="1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二级指标</w:t>
            </w:r>
          </w:p>
        </w:tc>
        <w:tc>
          <w:tcPr>
            <w:tcW w:w="16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三级指标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年度指标值</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实际完成值</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804"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c>
          <w:tcPr>
            <w:tcW w:w="1195"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偏差原因分析及改进措施</w:t>
            </w:r>
          </w:p>
        </w:tc>
      </w:tr>
      <w:tr>
        <w:trPr>
          <w:trHeight w:val="300"/>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绩效指标</w:t>
            </w:r>
          </w:p>
        </w:tc>
        <w:tc>
          <w:tcPr>
            <w:tcW w:w="980" w:type="dxa"/>
            <w:vMerge w:val="restart"/>
            <w:tcBorders>
              <w:top w:val="nil"/>
              <w:left w:val="nil"/>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产出指标</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完成专用材料购置</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≥2批</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5批</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13</w:t>
            </w:r>
          </w:p>
        </w:tc>
        <w:tc>
          <w:tcPr>
            <w:tcW w:w="804"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13.00</w:t>
            </w:r>
          </w:p>
        </w:tc>
        <w:tc>
          <w:tcPr>
            <w:tcW w:w="11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300"/>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nil"/>
              <w:bottom w:val="nil"/>
              <w:right w:val="single" w:sz="4" w:space="0" w:color="000000"/>
            </w:tcBorders>
            <w:vAlign w:val="center"/>
          </w:tcPr>
          <w:p/>
        </w:tc>
        <w:tc>
          <w:tcPr>
            <w:tcW w:w="1520" w:type="dxa"/>
            <w:vMerge/>
            <w:tcBorders>
              <w:top w:val="single" w:sz="4" w:space="0" w:color="auto"/>
              <w:left w:val="single" w:sz="4" w:space="0" w:color="auto"/>
              <w:bottom w:val="single" w:sz="4" w:space="0" w:color="auto"/>
              <w:right w:val="single" w:sz="4" w:space="0" w:color="auto"/>
            </w:tcBorders>
            <w:vAlign w:val="center"/>
          </w:tcP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完成业务培训</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≥5人</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highlight w:val="yellow"/>
              </w:rPr>
            </w:pPr>
            <w:r>
              <w:rPr>
                <w:rFonts w:ascii="宋体" w:cs="Arial" w:hint="eastAsia"/>
                <w:kern w:val="0"/>
                <w:sz w:val="18"/>
                <w:szCs w:val="18"/>
              </w:rPr>
              <w:t>8人</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13</w:t>
            </w:r>
          </w:p>
        </w:tc>
        <w:tc>
          <w:tcPr>
            <w:tcW w:w="804"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13.00</w:t>
            </w:r>
          </w:p>
        </w:tc>
        <w:tc>
          <w:tcPr>
            <w:tcW w:w="11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499"/>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nil"/>
              <w:bottom w:val="nil"/>
              <w:right w:val="single" w:sz="4" w:space="0" w:color="000000"/>
            </w:tcBorders>
            <w:vAlign w:val="center"/>
          </w:tcPr>
          <w:p/>
        </w:tc>
        <w:tc>
          <w:tcPr>
            <w:tcW w:w="1520"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质量指标</w:t>
            </w: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口岸送检样本检测率</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≥85%</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12</w:t>
            </w:r>
          </w:p>
        </w:tc>
        <w:tc>
          <w:tcPr>
            <w:tcW w:w="804"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12.00</w:t>
            </w:r>
          </w:p>
        </w:tc>
        <w:tc>
          <w:tcPr>
            <w:tcW w:w="11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585"/>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nil"/>
              <w:bottom w:val="nil"/>
              <w:right w:val="single" w:sz="4" w:space="0" w:color="000000"/>
            </w:tcBorders>
            <w:vAlign w:val="center"/>
          </w:tcPr>
          <w:p/>
        </w:tc>
        <w:tc>
          <w:tcPr>
            <w:tcW w:w="1520" w:type="dxa"/>
            <w:vMerge/>
            <w:tcBorders>
              <w:top w:val="nil"/>
              <w:left w:val="single" w:sz="4" w:space="0" w:color="auto"/>
              <w:bottom w:val="single" w:sz="4" w:space="0" w:color="auto"/>
              <w:right w:val="single" w:sz="4" w:space="0" w:color="auto"/>
            </w:tcBorders>
            <w:vAlign w:val="center"/>
          </w:tcP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重大传染病防制宣传完成率</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≥95%</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12</w:t>
            </w:r>
          </w:p>
        </w:tc>
        <w:tc>
          <w:tcPr>
            <w:tcW w:w="804"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12.00</w:t>
            </w:r>
          </w:p>
        </w:tc>
        <w:tc>
          <w:tcPr>
            <w:tcW w:w="11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529"/>
        </w:trPr>
        <w:tc>
          <w:tcPr>
            <w:tcW w:w="420" w:type="dxa"/>
            <w:vMerge/>
            <w:tcBorders>
              <w:top w:val="nil"/>
              <w:left w:val="single" w:sz="4" w:space="0" w:color="auto"/>
              <w:bottom w:val="single" w:sz="4" w:space="0" w:color="auto"/>
              <w:right w:val="single" w:sz="4" w:space="0" w:color="auto"/>
            </w:tcBorders>
            <w:vAlign w:val="center"/>
          </w:tcPr>
          <w:p/>
        </w:tc>
        <w:tc>
          <w:tcPr>
            <w:tcW w:w="980" w:type="dxa"/>
            <w:vMerge w:val="restart"/>
            <w:tcBorders>
              <w:top w:val="single" w:sz="4" w:space="0" w:color="000000"/>
              <w:left w:val="nil"/>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效益指标</w:t>
            </w:r>
          </w:p>
        </w:tc>
        <w:tc>
          <w:tcPr>
            <w:tcW w:w="1520"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社会效益指标</w:t>
            </w: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发生重大食品安全中毒事件</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≤5次</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0</w:t>
            </w:r>
            <w:r>
              <w:rPr>
                <w:rFonts w:ascii="宋体" w:cs="Arial" w:hint="eastAsia"/>
                <w:kern w:val="0"/>
                <w:sz w:val="18"/>
                <w:szCs w:val="18"/>
              </w:rPr>
              <w:t>次</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15</w:t>
            </w:r>
          </w:p>
        </w:tc>
        <w:tc>
          <w:tcPr>
            <w:tcW w:w="804"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15.00</w:t>
            </w:r>
          </w:p>
        </w:tc>
        <w:tc>
          <w:tcPr>
            <w:tcW w:w="11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585"/>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single" w:sz="4" w:space="0" w:color="000000"/>
              <w:left w:val="nil"/>
              <w:bottom w:val="nil"/>
              <w:right w:val="single" w:sz="4" w:space="0" w:color="000000"/>
            </w:tcBorders>
            <w:vAlign w:val="center"/>
          </w:tcPr>
          <w:p/>
        </w:tc>
        <w:tc>
          <w:tcPr>
            <w:tcW w:w="1520" w:type="dxa"/>
            <w:vMerge/>
            <w:tcBorders>
              <w:top w:val="nil"/>
              <w:left w:val="single" w:sz="4" w:space="0" w:color="auto"/>
              <w:bottom w:val="single" w:sz="4" w:space="0" w:color="auto"/>
              <w:right w:val="single" w:sz="4" w:space="0" w:color="auto"/>
            </w:tcBorders>
            <w:vAlign w:val="center"/>
          </w:tcP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入境高风险旅客检测率</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≥90%</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15</w:t>
            </w:r>
          </w:p>
        </w:tc>
        <w:tc>
          <w:tcPr>
            <w:tcW w:w="804"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15.00</w:t>
            </w:r>
          </w:p>
        </w:tc>
        <w:tc>
          <w:tcPr>
            <w:tcW w:w="11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750"/>
        </w:trPr>
        <w:tc>
          <w:tcPr>
            <w:tcW w:w="420" w:type="dxa"/>
            <w:vMerge/>
            <w:tcBorders>
              <w:top w:val="nil"/>
              <w:left w:val="single" w:sz="4" w:space="0" w:color="auto"/>
              <w:bottom w:val="single" w:sz="4" w:space="0" w:color="auto"/>
              <w:right w:val="single" w:sz="4" w:space="0" w:color="auto"/>
            </w:tcBorders>
            <w:vAlign w:val="center"/>
          </w:tcPr>
          <w:p/>
        </w:tc>
        <w:tc>
          <w:tcPr>
            <w:tcW w:w="980" w:type="dxa"/>
            <w:tcBorders>
              <w:top w:val="single" w:sz="4" w:space="0" w:color="000000"/>
              <w:left w:val="nil"/>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满意度指标</w:t>
            </w:r>
          </w:p>
        </w:tc>
        <w:tc>
          <w:tcPr>
            <w:tcW w:w="1520"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服务对象满意度指标</w:t>
            </w: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机场口岸相关企业、进出境人员满意度</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≥95%</w:t>
            </w:r>
          </w:p>
        </w:tc>
        <w:tc>
          <w:tcPr>
            <w:tcW w:w="143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w:t>
            </w:r>
          </w:p>
        </w:tc>
        <w:tc>
          <w:tcPr>
            <w:tcW w:w="804"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c>
          <w:tcPr>
            <w:tcW w:w="11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379"/>
        </w:trPr>
        <w:tc>
          <w:tcPr>
            <w:tcW w:w="70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总分</w:t>
            </w:r>
          </w:p>
        </w:tc>
        <w:tc>
          <w:tcPr>
            <w:tcW w:w="66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804"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100.00</w:t>
            </w:r>
          </w:p>
        </w:tc>
        <w:tc>
          <w:tcPr>
            <w:tcW w:w="1195"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bl>
    <w:p>
      <w:pPr>
        <w:autoSpaceDN w:val="0"/>
        <w:ind w:firstLineChars="200" w:firstLine="640"/>
        <w:rPr>
          <w:rFonts w:ascii="宋体"/>
          <w:b/>
          <w:sz w:val="32"/>
          <w:szCs w:val="32"/>
        </w:rPr>
        <w:sectPr>
          <w:pgSz w:w="11907" w:h="16840"/>
          <w:pgMar w:top="1701" w:right="1440" w:bottom="1701" w:left="1440" w:header="851" w:footer="992" w:gutter="0"/>
          <w:docGrid w:linePitch="312" w:charSpace="0"/>
        </w:sectPr>
      </w:pPr>
    </w:p>
    <w:tbl>
      <w:tblPr>
        <w:jc w:val="left"/>
        <w:tblInd w:w="93" w:type="dxa"/>
        <w:tblW w:w="950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20"/>
        <w:gridCol w:w="980"/>
        <w:gridCol w:w="1520"/>
        <w:gridCol w:w="620"/>
        <w:gridCol w:w="1060"/>
        <w:gridCol w:w="1060"/>
        <w:gridCol w:w="1225"/>
        <w:gridCol w:w="653"/>
        <w:gridCol w:w="817"/>
        <w:gridCol w:w="405"/>
        <w:gridCol w:w="740"/>
      </w:tblGrid>
      <w:tr>
        <w:trPr>
          <w:trHeight w:val="405"/>
        </w:trPr>
        <w:tc>
          <w:tcPr>
            <w:tcW w:w="9500" w:type="dxa"/>
            <w:gridSpan w:val="11"/>
            <w:tcBorders>
              <w:top w:val="nil"/>
              <w:left w:val="nil"/>
              <w:bottom w:val="nil"/>
              <w:right w:val="nil"/>
            </w:tcBorders>
            <w:shd w:val="clear" w:color="auto" w:fill="auto"/>
            <w:noWrap/>
            <w:vAlign w:val="center"/>
          </w:tcPr>
          <w:p>
            <w:pPr>
              <w:widowControl/>
              <w:jc w:val="center"/>
              <w:rPr>
                <w:rFonts w:ascii="宋体" w:cs="Arial"/>
                <w:b/>
                <w:bCs/>
                <w:kern w:val="0"/>
                <w:sz w:val="32"/>
                <w:szCs w:val="32"/>
              </w:rPr>
            </w:pPr>
            <w:r>
              <w:rPr>
                <w:rFonts w:ascii="宋体" w:cs="Arial" w:hint="eastAsia"/>
                <w:b/>
                <w:bCs/>
                <w:kern w:val="0"/>
                <w:sz w:val="32"/>
                <w:szCs w:val="32"/>
              </w:rPr>
              <w:t>进出口商品质量安全检验监管专项绩效自评表</w:t>
            </w:r>
          </w:p>
        </w:tc>
      </w:tr>
      <w:tr>
        <w:trPr>
          <w:trHeight w:val="270"/>
        </w:trPr>
        <w:tc>
          <w:tcPr>
            <w:tcW w:w="9500" w:type="dxa"/>
            <w:gridSpan w:val="11"/>
            <w:tcBorders>
              <w:top w:val="nil"/>
              <w:left w:val="nil"/>
              <w:bottom w:val="nil"/>
              <w:right w:val="nil"/>
            </w:tcBorders>
            <w:shd w:val="clear" w:color="auto" w:fill="auto"/>
            <w:noWrap/>
            <w:vAlign w:val="center"/>
          </w:tcPr>
          <w:p>
            <w:pPr>
              <w:widowControl/>
              <w:jc w:val="center"/>
              <w:rPr>
                <w:rFonts w:ascii="宋体" w:cs="Arial"/>
                <w:kern w:val="0"/>
                <w:sz w:val="22"/>
                <w:szCs w:val="22"/>
              </w:rPr>
            </w:pPr>
            <w:r>
              <w:rPr>
                <w:rFonts w:ascii="宋体" w:cs="Arial" w:hint="eastAsia"/>
                <w:kern w:val="0"/>
                <w:sz w:val="22"/>
                <w:szCs w:val="22"/>
              </w:rPr>
              <w:t>2022年度</w:t>
            </w:r>
          </w:p>
        </w:tc>
      </w:tr>
      <w:tr>
        <w:trPr>
          <w:trHeight w:val="255"/>
        </w:trPr>
        <w:tc>
          <w:tcPr>
            <w:tcW w:w="4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5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225"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53"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17"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405"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r>
        <w:trPr>
          <w:trHeight w:val="379"/>
        </w:trPr>
        <w:tc>
          <w:tcPr>
            <w:tcW w:w="1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项目名称</w:t>
            </w:r>
          </w:p>
        </w:tc>
        <w:tc>
          <w:tcPr>
            <w:tcW w:w="810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进出口商品质量安全检验监管专项</w:t>
            </w:r>
          </w:p>
        </w:tc>
      </w:tr>
      <w:tr>
        <w:trPr>
          <w:trHeight w:val="379"/>
        </w:trPr>
        <w:tc>
          <w:tcPr>
            <w:tcW w:w="1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主管部门</w:t>
            </w:r>
          </w:p>
        </w:tc>
        <w:tc>
          <w:tcPr>
            <w:tcW w:w="3200"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167 海关总署</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实施单位</w:t>
            </w:r>
          </w:p>
        </w:tc>
        <w:tc>
          <w:tcPr>
            <w:tcW w:w="384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中华人民共和国重庆江北机场海关</w:t>
            </w:r>
          </w:p>
        </w:tc>
      </w:tr>
      <w:tr>
        <w:trPr>
          <w:trHeight w:val="255"/>
        </w:trPr>
        <w:tc>
          <w:tcPr>
            <w:tcW w:w="140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项目资金</w:t>
              <w:br/>
              <w:t>（万元）</w:t>
            </w:r>
          </w:p>
        </w:tc>
        <w:tc>
          <w:tcPr>
            <w:tcW w:w="214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年初预算数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全年预算数</w:t>
            </w:r>
          </w:p>
        </w:tc>
        <w:tc>
          <w:tcPr>
            <w:tcW w:w="122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全年执行数</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1222"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执行率</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4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年度资金总额：</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122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222"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w:t>
            </w:r>
            <w:r>
              <w:rPr>
                <w:rFonts w:ascii="宋体" w:cs="Arial"/>
                <w:kern w:val="0"/>
                <w:sz w:val="18"/>
                <w:szCs w:val="18"/>
              </w:rPr>
              <w:t>0</w:t>
            </w:r>
            <w:r>
              <w:rPr>
                <w:rFonts w:ascii="宋体" w:cs="Arial" w:hint="eastAsia"/>
                <w:kern w:val="0"/>
                <w:sz w:val="18"/>
                <w:szCs w:val="18"/>
              </w:rPr>
              <w:t>.00</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4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其中：财政拨款</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122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22"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40" w:type="dxa"/>
            <w:gridSpan w:val="2"/>
            <w:tcBorders>
              <w:top w:val="single" w:sz="4" w:space="0" w:color="000000"/>
              <w:left w:val="nil"/>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上年结转资金</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22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22"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4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其他资金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22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22"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年度总体目标</w:t>
            </w:r>
          </w:p>
        </w:tc>
        <w:tc>
          <w:tcPr>
            <w:tcW w:w="524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预期目标</w:t>
            </w:r>
          </w:p>
        </w:tc>
        <w:tc>
          <w:tcPr>
            <w:tcW w:w="384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实际完成情况</w:t>
            </w:r>
          </w:p>
        </w:tc>
      </w:tr>
      <w:tr>
        <w:trPr>
          <w:trHeight w:val="1902"/>
        </w:trPr>
        <w:tc>
          <w:tcPr>
            <w:tcW w:w="420" w:type="dxa"/>
            <w:vMerge/>
            <w:tcBorders>
              <w:top w:val="nil"/>
              <w:left w:val="single" w:sz="4" w:space="0" w:color="000000"/>
              <w:bottom w:val="single" w:sz="4" w:space="0" w:color="000000"/>
              <w:right w:val="single" w:sz="4" w:space="0" w:color="000000"/>
            </w:tcBorders>
            <w:vAlign w:val="center"/>
          </w:tcPr>
          <w:p/>
        </w:tc>
        <w:tc>
          <w:tcPr>
            <w:tcW w:w="524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通过对进出口商品开展抽样检测，控制系统风险和重大质量安全事故，保障重庆江北机场口岸进出口商品质量安全总体可控。</w:t>
            </w:r>
          </w:p>
        </w:tc>
        <w:tc>
          <w:tcPr>
            <w:tcW w:w="384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连续开展进出口商品抽样检测，提升现场关员业务水平及执法效能，总结提炼商品质量安全风险点，确保系统风险可控，杜绝重大质量安全事故，实现重庆江北机场口岸进出口商品质量安全总体可控。</w:t>
            </w:r>
          </w:p>
        </w:tc>
      </w:tr>
      <w:tr>
        <w:trPr>
          <w:trHeight w:val="600"/>
        </w:trPr>
        <w:tc>
          <w:tcPr>
            <w:tcW w:w="420" w:type="dxa"/>
            <w:tcBorders>
              <w:top w:val="nil"/>
              <w:left w:val="single" w:sz="4" w:space="0" w:color="000000"/>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9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一级指标</w:t>
            </w:r>
          </w:p>
        </w:tc>
        <w:tc>
          <w:tcPr>
            <w:tcW w:w="1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二级指标</w:t>
            </w:r>
          </w:p>
        </w:tc>
        <w:tc>
          <w:tcPr>
            <w:tcW w:w="16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三级指标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年度指标值</w:t>
            </w:r>
          </w:p>
        </w:tc>
        <w:tc>
          <w:tcPr>
            <w:tcW w:w="122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实际完成值</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817"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c>
          <w:tcPr>
            <w:tcW w:w="1145"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偏差原因分析及改进措施</w:t>
            </w:r>
          </w:p>
        </w:tc>
      </w:tr>
      <w:tr>
        <w:trPr>
          <w:trHeight w:val="300"/>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绩效指标</w:t>
            </w:r>
          </w:p>
        </w:tc>
        <w:tc>
          <w:tcPr>
            <w:tcW w:w="980" w:type="dxa"/>
            <w:vMerge w:val="restart"/>
            <w:tcBorders>
              <w:top w:val="nil"/>
              <w:left w:val="single" w:sz="4" w:space="0" w:color="auto"/>
              <w:bottom w:val="single" w:sz="4" w:space="0" w:color="000000"/>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产出指标</w:t>
            </w:r>
          </w:p>
        </w:tc>
        <w:tc>
          <w:tcPr>
            <w:tcW w:w="1520" w:type="dxa"/>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质量指标</w:t>
            </w: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培训人员合格率</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≥90%</w:t>
            </w:r>
          </w:p>
        </w:tc>
        <w:tc>
          <w:tcPr>
            <w:tcW w:w="122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100</w:t>
            </w:r>
            <w:r>
              <w:rPr>
                <w:rFonts w:ascii="宋体" w:cs="Arial" w:hint="eastAsia"/>
                <w:kern w:val="0"/>
                <w:sz w:val="18"/>
                <w:szCs w:val="18"/>
              </w:rPr>
              <w:t>%</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15</w:t>
            </w:r>
          </w:p>
        </w:tc>
        <w:tc>
          <w:tcPr>
            <w:tcW w:w="817"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15.00</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300"/>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single" w:sz="4" w:space="0" w:color="auto"/>
              <w:bottom w:val="single" w:sz="4" w:space="0" w:color="000000"/>
              <w:right w:val="single" w:sz="4" w:space="0" w:color="auto"/>
            </w:tcBorders>
            <w:vAlign w:val="center"/>
          </w:tcPr>
          <w:p/>
        </w:tc>
        <w:tc>
          <w:tcPr>
            <w:tcW w:w="1520"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完成业务培训</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≥3人</w:t>
            </w:r>
          </w:p>
        </w:tc>
        <w:tc>
          <w:tcPr>
            <w:tcW w:w="122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5</w:t>
            </w:r>
            <w:r>
              <w:rPr>
                <w:rFonts w:ascii="宋体" w:cs="Arial" w:hint="eastAsia"/>
                <w:kern w:val="0"/>
                <w:sz w:val="18"/>
                <w:szCs w:val="18"/>
              </w:rPr>
              <w:t>人</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17</w:t>
            </w:r>
          </w:p>
        </w:tc>
        <w:tc>
          <w:tcPr>
            <w:tcW w:w="817"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17.00</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540"/>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single" w:sz="4" w:space="0" w:color="auto"/>
              <w:bottom w:val="single" w:sz="4" w:space="0" w:color="000000"/>
              <w:right w:val="single" w:sz="4" w:space="0" w:color="auto"/>
            </w:tcBorders>
            <w:vAlign w:val="center"/>
          </w:tcPr>
          <w:p/>
        </w:tc>
        <w:tc>
          <w:tcPr>
            <w:tcW w:w="1520" w:type="dxa"/>
            <w:vMerge/>
            <w:tcBorders>
              <w:top w:val="nil"/>
              <w:left w:val="single" w:sz="4" w:space="0" w:color="auto"/>
              <w:bottom w:val="single" w:sz="4" w:space="0" w:color="auto"/>
              <w:right w:val="single" w:sz="4" w:space="0" w:color="auto"/>
            </w:tcBorders>
            <w:vAlign w:val="center"/>
          </w:tcP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完成专用材料购置</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≥2批</w:t>
            </w:r>
          </w:p>
        </w:tc>
        <w:tc>
          <w:tcPr>
            <w:tcW w:w="122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3</w:t>
            </w:r>
            <w:r>
              <w:rPr>
                <w:rFonts w:ascii="宋体" w:cs="Arial" w:hint="eastAsia"/>
                <w:kern w:val="0"/>
                <w:sz w:val="18"/>
                <w:szCs w:val="18"/>
              </w:rPr>
              <w:t>批</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18</w:t>
            </w:r>
          </w:p>
        </w:tc>
        <w:tc>
          <w:tcPr>
            <w:tcW w:w="817"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18.00</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660"/>
        </w:trPr>
        <w:tc>
          <w:tcPr>
            <w:tcW w:w="420" w:type="dxa"/>
            <w:vMerge/>
            <w:tcBorders>
              <w:top w:val="nil"/>
              <w:left w:val="single" w:sz="4" w:space="0" w:color="auto"/>
              <w:bottom w:val="single" w:sz="4" w:space="0" w:color="auto"/>
              <w:right w:val="single" w:sz="4" w:space="0" w:color="auto"/>
            </w:tcBorders>
            <w:vAlign w:val="center"/>
          </w:tcPr>
          <w:p/>
        </w:tc>
        <w:tc>
          <w:tcPr>
            <w:tcW w:w="980" w:type="dxa"/>
            <w:tcBorders>
              <w:top w:val="nil"/>
              <w:left w:val="nil"/>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效益指标</w:t>
            </w:r>
          </w:p>
        </w:tc>
        <w:tc>
          <w:tcPr>
            <w:tcW w:w="1520"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社会效益指标</w:t>
            </w: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区域性质量安全事件</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≤1起</w:t>
            </w:r>
          </w:p>
        </w:tc>
        <w:tc>
          <w:tcPr>
            <w:tcW w:w="122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0</w:t>
            </w:r>
            <w:r>
              <w:rPr>
                <w:rFonts w:ascii="宋体" w:cs="Arial" w:hint="eastAsia"/>
                <w:kern w:val="0"/>
                <w:sz w:val="18"/>
                <w:szCs w:val="18"/>
              </w:rPr>
              <w:t>起</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w:t>
            </w:r>
          </w:p>
        </w:tc>
        <w:tc>
          <w:tcPr>
            <w:tcW w:w="817"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30.00</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915"/>
        </w:trPr>
        <w:tc>
          <w:tcPr>
            <w:tcW w:w="420" w:type="dxa"/>
            <w:vMerge/>
            <w:tcBorders>
              <w:top w:val="nil"/>
              <w:left w:val="single" w:sz="4" w:space="0" w:color="auto"/>
              <w:bottom w:val="single" w:sz="4" w:space="0" w:color="auto"/>
              <w:right w:val="single" w:sz="4" w:space="0" w:color="auto"/>
            </w:tcBorders>
            <w:vAlign w:val="center"/>
          </w:tcPr>
          <w:p/>
        </w:tc>
        <w:tc>
          <w:tcPr>
            <w:tcW w:w="980" w:type="dxa"/>
            <w:tcBorders>
              <w:top w:val="single" w:sz="4" w:space="0" w:color="000000"/>
              <w:left w:val="nil"/>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满意度指标</w:t>
            </w:r>
          </w:p>
        </w:tc>
        <w:tc>
          <w:tcPr>
            <w:tcW w:w="1520"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服务对象满意度指标</w:t>
            </w:r>
          </w:p>
        </w:tc>
        <w:tc>
          <w:tcPr>
            <w:tcW w:w="168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进出口企业对商品质量安全检验监管工作满意度</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≥97%</w:t>
            </w:r>
          </w:p>
        </w:tc>
        <w:tc>
          <w:tcPr>
            <w:tcW w:w="1225"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100</w:t>
            </w:r>
            <w:r>
              <w:rPr>
                <w:rFonts w:ascii="宋体" w:cs="Arial" w:hint="eastAsia"/>
                <w:kern w:val="0"/>
                <w:sz w:val="18"/>
                <w:szCs w:val="18"/>
              </w:rPr>
              <w:t>%</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w:t>
            </w:r>
          </w:p>
        </w:tc>
        <w:tc>
          <w:tcPr>
            <w:tcW w:w="817"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379"/>
        </w:trPr>
        <w:tc>
          <w:tcPr>
            <w:tcW w:w="688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总分</w:t>
            </w:r>
          </w:p>
        </w:tc>
        <w:tc>
          <w:tcPr>
            <w:tcW w:w="653"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817"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100.00</w:t>
            </w:r>
          </w:p>
        </w:tc>
        <w:tc>
          <w:tcPr>
            <w:tcW w:w="1145"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bl>
    <w:p>
      <w:pPr>
        <w:autoSpaceDN w:val="0"/>
        <w:ind w:firstLineChars="200" w:firstLine="640"/>
        <w:rPr>
          <w:rFonts w:ascii="宋体"/>
          <w:b/>
          <w:sz w:val="32"/>
          <w:szCs w:val="32"/>
        </w:rPr>
        <w:sectPr>
          <w:pgSz w:w="11907" w:h="16840"/>
          <w:pgMar w:top="1701" w:right="1440" w:bottom="1701" w:left="1440" w:header="851" w:footer="992" w:gutter="0"/>
          <w:docGrid w:linePitch="312" w:charSpace="0"/>
        </w:sectPr>
      </w:pPr>
    </w:p>
    <w:tbl>
      <w:tblPr>
        <w:jc w:val="left"/>
        <w:tblInd w:w="93" w:type="dxa"/>
        <w:tblW w:w="972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20"/>
        <w:gridCol w:w="980"/>
        <w:gridCol w:w="1520"/>
        <w:gridCol w:w="580"/>
        <w:gridCol w:w="1060"/>
        <w:gridCol w:w="1060"/>
        <w:gridCol w:w="1630"/>
        <w:gridCol w:w="471"/>
        <w:gridCol w:w="619"/>
        <w:gridCol w:w="640"/>
        <w:gridCol w:w="740"/>
      </w:tblGrid>
      <w:tr>
        <w:trPr>
          <w:trHeight w:val="405"/>
        </w:trPr>
        <w:tc>
          <w:tcPr>
            <w:tcW w:w="9720" w:type="dxa"/>
            <w:gridSpan w:val="11"/>
            <w:tcBorders>
              <w:top w:val="nil"/>
              <w:left w:val="nil"/>
              <w:bottom w:val="nil"/>
              <w:right w:val="nil"/>
            </w:tcBorders>
            <w:shd w:val="clear" w:color="auto" w:fill="auto"/>
            <w:noWrap/>
            <w:vAlign w:val="center"/>
          </w:tcPr>
          <w:p>
            <w:pPr>
              <w:widowControl/>
              <w:jc w:val="center"/>
              <w:rPr>
                <w:rFonts w:ascii="宋体" w:cs="Arial"/>
                <w:b/>
                <w:bCs/>
                <w:kern w:val="0"/>
                <w:sz w:val="32"/>
                <w:szCs w:val="32"/>
              </w:rPr>
            </w:pPr>
            <w:r>
              <w:rPr>
                <w:rFonts w:ascii="宋体" w:cs="Arial" w:hint="eastAsia"/>
                <w:b/>
                <w:bCs/>
                <w:kern w:val="0"/>
                <w:sz w:val="32"/>
                <w:szCs w:val="32"/>
              </w:rPr>
              <w:t>企业管理及稽查专项绩效自评表</w:t>
            </w:r>
          </w:p>
        </w:tc>
      </w:tr>
      <w:tr>
        <w:trPr>
          <w:trHeight w:val="270"/>
        </w:trPr>
        <w:tc>
          <w:tcPr>
            <w:tcW w:w="9720" w:type="dxa"/>
            <w:gridSpan w:val="11"/>
            <w:tcBorders>
              <w:top w:val="nil"/>
              <w:left w:val="nil"/>
              <w:bottom w:val="nil"/>
              <w:right w:val="nil"/>
            </w:tcBorders>
            <w:shd w:val="clear" w:color="auto" w:fill="auto"/>
            <w:noWrap/>
            <w:vAlign w:val="center"/>
          </w:tcPr>
          <w:p>
            <w:pPr>
              <w:widowControl/>
              <w:jc w:val="center"/>
              <w:rPr>
                <w:rFonts w:ascii="宋体" w:cs="Arial"/>
                <w:kern w:val="0"/>
                <w:sz w:val="22"/>
                <w:szCs w:val="22"/>
              </w:rPr>
            </w:pPr>
            <w:r>
              <w:rPr>
                <w:rFonts w:ascii="宋体" w:cs="Arial" w:hint="eastAsia"/>
                <w:kern w:val="0"/>
                <w:sz w:val="22"/>
                <w:szCs w:val="22"/>
              </w:rPr>
              <w:t>2022年度</w:t>
            </w:r>
          </w:p>
        </w:tc>
      </w:tr>
      <w:tr>
        <w:trPr>
          <w:trHeight w:val="255"/>
        </w:trPr>
        <w:tc>
          <w:tcPr>
            <w:tcW w:w="4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5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63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7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r>
        <w:trPr>
          <w:trHeight w:val="379"/>
        </w:trPr>
        <w:tc>
          <w:tcPr>
            <w:tcW w:w="1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项目名称</w:t>
            </w:r>
          </w:p>
        </w:tc>
        <w:tc>
          <w:tcPr>
            <w:tcW w:w="832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企业管理及稽查专项</w:t>
            </w:r>
          </w:p>
        </w:tc>
      </w:tr>
      <w:tr>
        <w:trPr>
          <w:trHeight w:val="379"/>
        </w:trPr>
        <w:tc>
          <w:tcPr>
            <w:tcW w:w="1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主管部门</w:t>
            </w:r>
          </w:p>
        </w:tc>
        <w:tc>
          <w:tcPr>
            <w:tcW w:w="3160"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167 海关总署</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实施单位</w:t>
            </w:r>
          </w:p>
        </w:tc>
        <w:tc>
          <w:tcPr>
            <w:tcW w:w="410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中华人民共和国重庆江北机场海关</w:t>
            </w:r>
          </w:p>
        </w:tc>
      </w:tr>
      <w:tr>
        <w:trPr>
          <w:trHeight w:val="255"/>
        </w:trPr>
        <w:tc>
          <w:tcPr>
            <w:tcW w:w="140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项目资金</w:t>
              <w:br/>
              <w:t>（万元）</w:t>
            </w:r>
          </w:p>
        </w:tc>
        <w:tc>
          <w:tcPr>
            <w:tcW w:w="21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年初预算数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全年预算数</w:t>
            </w:r>
          </w:p>
        </w:tc>
        <w:tc>
          <w:tcPr>
            <w:tcW w:w="163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全年执行数</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121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执行率</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年度资金总额：</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63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21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10</w:t>
            </w:r>
            <w:r>
              <w:rPr>
                <w:rFonts w:ascii="宋体" w:cs="Arial" w:hint="eastAsia"/>
                <w:kern w:val="0"/>
                <w:sz w:val="18"/>
                <w:szCs w:val="18"/>
              </w:rPr>
              <w:t>.00</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其中：财政拨款</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63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1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00" w:type="dxa"/>
            <w:gridSpan w:val="2"/>
            <w:tcBorders>
              <w:top w:val="single" w:sz="4" w:space="0" w:color="000000"/>
              <w:left w:val="nil"/>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上年结转资金</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3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1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40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21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其他资金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3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21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年度总体目标</w:t>
            </w:r>
          </w:p>
        </w:tc>
        <w:tc>
          <w:tcPr>
            <w:tcW w:w="520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预期目标</w:t>
            </w:r>
          </w:p>
        </w:tc>
        <w:tc>
          <w:tcPr>
            <w:tcW w:w="410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实际完成情况</w:t>
            </w:r>
          </w:p>
        </w:tc>
      </w:tr>
      <w:tr>
        <w:trPr>
          <w:trHeight w:val="2595"/>
        </w:trPr>
        <w:tc>
          <w:tcPr>
            <w:tcW w:w="420" w:type="dxa"/>
            <w:vMerge/>
            <w:tcBorders>
              <w:top w:val="nil"/>
              <w:left w:val="single" w:sz="4" w:space="0" w:color="000000"/>
              <w:bottom w:val="single" w:sz="4" w:space="0" w:color="000000"/>
              <w:right w:val="single" w:sz="4" w:space="0" w:color="000000"/>
            </w:tcBorders>
            <w:vAlign w:val="center"/>
          </w:tcPr>
          <w:p/>
        </w:tc>
        <w:tc>
          <w:tcPr>
            <w:tcW w:w="520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通过开展辖区保税监管培训,邀请领域专家,对关区从事有关业务的外贸企业负责人及其代理人进行业务再培训,规范作业流程,梳理监管环节中难点和痛点,让监管双方对保税监管日常管理达到新的认识;通过外出培训,争取总关各职能部门支持,走出去,请进来,对全国海关具有保税监管先进管理经验的兄弟单位进行现场跟班作业,结合本关区业务特点与对方关区展开业务座谈,形成"可复制,能操作,有亮点,出效果"监管新模式,同时邀请兄弟海关从事相关业务的专家同事到重庆海关实际指导保税监管工作,加强日常联系,展开业务合作,形成监管合力,达到提升航空口岸的监控能力。</w:t>
            </w:r>
          </w:p>
        </w:tc>
        <w:tc>
          <w:tcPr>
            <w:tcW w:w="410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对关区内报税业务经营单位企业负责人及其代理人进行上门业务再培训，规范作业流程，梳理监管流程，让企业更加熟悉保税管理规范，让监管双方对保税监管日常管理达到新的认识。</w:t>
            </w:r>
          </w:p>
        </w:tc>
      </w:tr>
      <w:tr>
        <w:trPr>
          <w:trHeight w:val="600"/>
        </w:trPr>
        <w:tc>
          <w:tcPr>
            <w:tcW w:w="420" w:type="dxa"/>
            <w:tcBorders>
              <w:top w:val="nil"/>
              <w:left w:val="single" w:sz="4" w:space="0" w:color="000000"/>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9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一级指标</w:t>
            </w:r>
          </w:p>
        </w:tc>
        <w:tc>
          <w:tcPr>
            <w:tcW w:w="1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二级指标</w:t>
            </w:r>
          </w:p>
        </w:tc>
        <w:tc>
          <w:tcPr>
            <w:tcW w:w="164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三级指标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年度指标值</w:t>
            </w:r>
          </w:p>
        </w:tc>
        <w:tc>
          <w:tcPr>
            <w:tcW w:w="163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实际完成值</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57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偏差原因分析及改进措施</w:t>
            </w:r>
          </w:p>
        </w:tc>
      </w:tr>
      <w:tr>
        <w:trPr>
          <w:trHeight w:val="645"/>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绩效指标</w:t>
            </w:r>
          </w:p>
        </w:tc>
        <w:tc>
          <w:tcPr>
            <w:tcW w:w="980" w:type="dxa"/>
            <w:vMerge w:val="restart"/>
            <w:tcBorders>
              <w:top w:val="nil"/>
              <w:left w:val="nil"/>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产出指标</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164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外出学习、调研次数</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≥1次</w:t>
            </w:r>
          </w:p>
        </w:tc>
        <w:tc>
          <w:tcPr>
            <w:tcW w:w="163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2</w:t>
            </w:r>
            <w:r>
              <w:rPr>
                <w:rFonts w:ascii="宋体" w:cs="Arial" w:hint="eastAsia"/>
                <w:kern w:val="0"/>
                <w:sz w:val="18"/>
                <w:szCs w:val="18"/>
              </w:rPr>
              <w:t>次</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15</w:t>
            </w:r>
          </w:p>
        </w:tc>
        <w:tc>
          <w:tcPr>
            <w:tcW w:w="570"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15.00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555"/>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nil"/>
              <w:bottom w:val="nil"/>
              <w:right w:val="single" w:sz="4" w:space="0" w:color="000000"/>
            </w:tcBorders>
            <w:vAlign w:val="center"/>
          </w:tcPr>
          <w:p/>
        </w:tc>
        <w:tc>
          <w:tcPr>
            <w:tcW w:w="1520" w:type="dxa"/>
            <w:vMerge/>
            <w:tcBorders>
              <w:top w:val="single" w:sz="4" w:space="0" w:color="auto"/>
              <w:left w:val="single" w:sz="4" w:space="0" w:color="auto"/>
              <w:bottom w:val="single" w:sz="4" w:space="0" w:color="auto"/>
              <w:right w:val="single" w:sz="4" w:space="0" w:color="auto"/>
            </w:tcBorders>
            <w:vAlign w:val="center"/>
          </w:tcPr>
          <w:p/>
        </w:tc>
        <w:tc>
          <w:tcPr>
            <w:tcW w:w="164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开展业务培训次数</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≥4次</w:t>
            </w:r>
          </w:p>
        </w:tc>
        <w:tc>
          <w:tcPr>
            <w:tcW w:w="163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4</w:t>
            </w:r>
            <w:r>
              <w:rPr>
                <w:rFonts w:ascii="宋体" w:cs="Arial" w:hint="eastAsia"/>
                <w:kern w:val="0"/>
                <w:sz w:val="18"/>
                <w:szCs w:val="18"/>
              </w:rPr>
              <w:t>次</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15</w:t>
            </w:r>
          </w:p>
        </w:tc>
        <w:tc>
          <w:tcPr>
            <w:tcW w:w="570"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15.00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300"/>
        </w:trPr>
        <w:tc>
          <w:tcPr>
            <w:tcW w:w="420" w:type="dxa"/>
            <w:vMerge/>
            <w:tcBorders>
              <w:top w:val="nil"/>
              <w:left w:val="single" w:sz="4" w:space="0" w:color="auto"/>
              <w:bottom w:val="single" w:sz="4" w:space="0" w:color="auto"/>
              <w:right w:val="single" w:sz="4" w:space="0" w:color="auto"/>
            </w:tcBorders>
            <w:vAlign w:val="center"/>
          </w:tcPr>
          <w:p/>
        </w:tc>
        <w:tc>
          <w:tcPr>
            <w:tcW w:w="980" w:type="dxa"/>
            <w:vMerge/>
            <w:tcBorders>
              <w:top w:val="nil"/>
              <w:left w:val="nil"/>
              <w:bottom w:val="nil"/>
              <w:right w:val="single" w:sz="4" w:space="0" w:color="000000"/>
            </w:tcBorders>
            <w:vAlign w:val="center"/>
          </w:tcPr>
          <w:p/>
        </w:tc>
        <w:tc>
          <w:tcPr>
            <w:tcW w:w="1520"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质量指标</w:t>
            </w:r>
          </w:p>
        </w:tc>
        <w:tc>
          <w:tcPr>
            <w:tcW w:w="164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培训学习满意率</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≥90%</w:t>
            </w:r>
          </w:p>
        </w:tc>
        <w:tc>
          <w:tcPr>
            <w:tcW w:w="163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95</w:t>
            </w:r>
            <w:r>
              <w:rPr>
                <w:rFonts w:ascii="宋体" w:cs="Arial"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w:t>
            </w:r>
          </w:p>
        </w:tc>
        <w:tc>
          <w:tcPr>
            <w:tcW w:w="570"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555"/>
        </w:trPr>
        <w:tc>
          <w:tcPr>
            <w:tcW w:w="420" w:type="dxa"/>
            <w:vMerge/>
            <w:tcBorders>
              <w:top w:val="nil"/>
              <w:left w:val="single" w:sz="4" w:space="0" w:color="auto"/>
              <w:bottom w:val="single" w:sz="4" w:space="0" w:color="auto"/>
              <w:right w:val="single" w:sz="4" w:space="0" w:color="auto"/>
            </w:tcBorders>
            <w:vAlign w:val="center"/>
          </w:tcPr>
          <w:p/>
        </w:tc>
        <w:tc>
          <w:tcPr>
            <w:tcW w:w="980" w:type="dxa"/>
            <w:tcBorders>
              <w:top w:val="single" w:sz="4" w:space="0" w:color="000000"/>
              <w:left w:val="nil"/>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效益指标</w:t>
            </w:r>
          </w:p>
        </w:tc>
        <w:tc>
          <w:tcPr>
            <w:tcW w:w="1520"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社会效益指标</w:t>
            </w:r>
          </w:p>
        </w:tc>
        <w:tc>
          <w:tcPr>
            <w:tcW w:w="164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对保税货物的监管程度</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≥90%</w:t>
            </w:r>
          </w:p>
        </w:tc>
        <w:tc>
          <w:tcPr>
            <w:tcW w:w="163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100</w:t>
            </w:r>
            <w:r>
              <w:rPr>
                <w:rFonts w:ascii="宋体" w:cs="Arial"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w:t>
            </w:r>
          </w:p>
        </w:tc>
        <w:tc>
          <w:tcPr>
            <w:tcW w:w="570"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705"/>
        </w:trPr>
        <w:tc>
          <w:tcPr>
            <w:tcW w:w="420" w:type="dxa"/>
            <w:vMerge/>
            <w:tcBorders>
              <w:top w:val="nil"/>
              <w:left w:val="single" w:sz="4" w:space="0" w:color="auto"/>
              <w:bottom w:val="single" w:sz="4" w:space="0" w:color="auto"/>
              <w:right w:val="single" w:sz="4" w:space="0" w:color="auto"/>
            </w:tcBorders>
            <w:vAlign w:val="center"/>
          </w:tcPr>
          <w:p/>
        </w:tc>
        <w:tc>
          <w:tcPr>
            <w:tcW w:w="980" w:type="dxa"/>
            <w:tcBorders>
              <w:top w:val="single" w:sz="4" w:space="0" w:color="000000"/>
              <w:left w:val="nil"/>
              <w:bottom w:val="nil"/>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满意度指标</w:t>
            </w:r>
          </w:p>
        </w:tc>
        <w:tc>
          <w:tcPr>
            <w:tcW w:w="1520"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服务对象满意度指标</w:t>
            </w:r>
          </w:p>
        </w:tc>
        <w:tc>
          <w:tcPr>
            <w:tcW w:w="1640" w:type="dxa"/>
            <w:gridSpan w:val="2"/>
            <w:tcBorders>
              <w:top w:val="single" w:sz="4" w:space="0" w:color="000000"/>
              <w:left w:val="single" w:sz="4" w:space="0" w:color="000000"/>
              <w:bottom w:val="single" w:sz="4" w:space="0" w:color="000000"/>
              <w:right w:val="nil"/>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受训人员满意度</w:t>
            </w:r>
          </w:p>
        </w:tc>
        <w:tc>
          <w:tcPr>
            <w:tcW w:w="106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≥95%</w:t>
            </w:r>
          </w:p>
        </w:tc>
        <w:tc>
          <w:tcPr>
            <w:tcW w:w="163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kern w:val="0"/>
                <w:sz w:val="18"/>
                <w:szCs w:val="18"/>
              </w:rPr>
              <w:t>95</w:t>
            </w:r>
            <w:r>
              <w:rPr>
                <w:rFonts w:ascii="宋体" w:cs="Arial"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w:t>
            </w:r>
          </w:p>
        </w:tc>
        <w:tc>
          <w:tcPr>
            <w:tcW w:w="570" w:type="dxa"/>
            <w:tcBorders>
              <w:top w:val="nil"/>
              <w:left w:val="nil"/>
              <w:bottom w:val="single" w:sz="4" w:space="0" w:color="000000"/>
              <w:right w:val="nil"/>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w:t>
            </w:r>
          </w:p>
        </w:tc>
      </w:tr>
      <w:tr>
        <w:trPr>
          <w:trHeight w:val="379"/>
        </w:trPr>
        <w:tc>
          <w:tcPr>
            <w:tcW w:w="725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总分</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57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bl>
    <w:p>
      <w:pPr>
        <w:autoSpaceDN w:val="0"/>
        <w:ind w:firstLineChars="200" w:firstLine="640"/>
        <w:rPr>
          <w:rFonts w:ascii="宋体"/>
          <w:b/>
          <w:sz w:val="32"/>
          <w:szCs w:val="32"/>
        </w:rPr>
      </w:pPr>
    </w:p>
    <w:p>
      <w:pPr>
        <w:autoSpaceDN w:val="0"/>
        <w:spacing w:line="560" w:lineRule="exact"/>
        <w:ind w:firstLineChars="200" w:firstLine="640"/>
        <w:rPr>
          <w:rFonts w:eastAsia="方正仿宋_GBK"/>
          <w:kern w:val="0"/>
          <w:sz w:val="32"/>
          <w:szCs w:val="32"/>
        </w:rPr>
      </w:pPr>
    </w:p>
    <w:p>
      <w:pPr>
        <w:autoSpaceDN w:val="0"/>
        <w:spacing w:line="560" w:lineRule="exact"/>
        <w:ind w:firstLineChars="200" w:firstLine="640"/>
        <w:rPr>
          <w:rFonts w:eastAsia="方正仿宋_GBK"/>
          <w:kern w:val="0"/>
          <w:sz w:val="32"/>
          <w:szCs w:val="32"/>
        </w:rPr>
      </w:pPr>
    </w:p>
    <w:p>
      <w:pPr>
        <w:autoSpaceDN w:val="0"/>
        <w:spacing w:line="560" w:lineRule="exact"/>
        <w:ind w:firstLineChars="200" w:firstLine="640"/>
        <w:rPr>
          <w:rFonts w:eastAsia="方正仿宋_GBK"/>
          <w:kern w:val="0"/>
          <w:sz w:val="32"/>
          <w:szCs w:val="32"/>
        </w:rPr>
      </w:pPr>
    </w:p>
    <w:p>
      <w:pPr>
        <w:autoSpaceDN w:val="0"/>
        <w:spacing w:line="560" w:lineRule="exact"/>
        <w:ind w:firstLineChars="200" w:firstLine="640"/>
        <w:rPr>
          <w:rFonts w:eastAsia="方正仿宋_GBK"/>
          <w:kern w:val="0"/>
          <w:sz w:val="32"/>
          <w:szCs w:val="32"/>
        </w:rPr>
      </w:pPr>
    </w:p>
    <w:p>
      <w:pPr>
        <w:autoSpaceDN w:val="0"/>
        <w:ind w:firstLineChars="200" w:firstLine="1440"/>
        <w:rPr>
          <w:rFonts w:ascii="宋体"/>
          <w:b/>
          <w:sz w:val="72"/>
          <w:szCs w:val="72"/>
        </w:rPr>
      </w:pPr>
    </w:p>
    <w:p>
      <w:pPr>
        <w:autoSpaceDN w:val="0"/>
        <w:ind w:firstLineChars="200" w:firstLine="1440"/>
        <w:rPr>
          <w:rFonts w:ascii="宋体"/>
          <w:b/>
          <w:sz w:val="72"/>
          <w:szCs w:val="72"/>
        </w:rPr>
      </w:pPr>
    </w:p>
    <w:p>
      <w:pPr>
        <w:autoSpaceDN w:val="0"/>
        <w:ind w:firstLineChars="200" w:firstLine="1440"/>
        <w:rPr>
          <w:rFonts w:ascii="宋体"/>
          <w:b/>
          <w:sz w:val="72"/>
          <w:szCs w:val="72"/>
        </w:rPr>
      </w:pPr>
    </w:p>
    <w:p>
      <w:pPr>
        <w:autoSpaceDN w:val="0"/>
        <w:ind w:firstLineChars="200" w:firstLine="1440"/>
        <w:rPr>
          <w:rFonts w:ascii="宋体"/>
          <w:b/>
          <w:sz w:val="72"/>
          <w:szCs w:val="72"/>
        </w:rPr>
      </w:pPr>
    </w:p>
    <w:p>
      <w:pPr>
        <w:autoSpaceDN w:val="0"/>
        <w:ind w:firstLineChars="200" w:firstLine="1440"/>
        <w:rPr>
          <w:rFonts w:ascii="宋体"/>
          <w:b/>
          <w:sz w:val="72"/>
          <w:szCs w:val="72"/>
        </w:rPr>
      </w:pPr>
    </w:p>
    <w:p>
      <w:pPr>
        <w:autoSpaceDN w:val="0"/>
        <w:ind w:firstLineChars="200" w:firstLine="1440"/>
        <w:rPr>
          <w:rFonts w:ascii="宋体"/>
          <w:b/>
          <w:sz w:val="72"/>
          <w:szCs w:val="72"/>
        </w:rPr>
      </w:pPr>
      <w:r>
        <w:rPr>
          <w:rFonts w:ascii="宋体" w:hint="eastAsia"/>
          <w:b/>
          <w:sz w:val="72"/>
          <w:szCs w:val="72"/>
        </w:rPr>
        <w:t>第四部分  名词解释</w:t>
      </w: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widowControl/>
        <w:jc w:val="left"/>
        <w:rPr>
          <w:rFonts w:ascii="方正黑体_GBK" w:eastAsia="方正黑体_GBK" w:hint="eastAsia"/>
          <w:bCs/>
          <w:sz w:val="32"/>
          <w:szCs w:val="32"/>
        </w:rPr>
      </w:pPr>
    </w:p>
    <w:p>
      <w:pPr>
        <w:widowControl/>
        <w:jc w:val="left"/>
        <w:rPr>
          <w:rFonts w:ascii="方正黑体_GBK" w:eastAsia="方正黑体_GBK"/>
          <w:bCs/>
          <w:sz w:val="32"/>
          <w:szCs w:val="32"/>
        </w:rPr>
      </w:pPr>
    </w:p>
    <w:p>
      <w:pPr>
        <w:autoSpaceDN w:val="0"/>
        <w:spacing w:line="560" w:lineRule="exact"/>
        <w:ind w:firstLineChars="200" w:firstLine="640"/>
        <w:rPr>
          <w:rFonts w:eastAsia="方正仿宋_GBK"/>
          <w:sz w:val="32"/>
          <w:szCs w:val="32"/>
        </w:rPr>
      </w:pPr>
      <w:r>
        <w:rPr>
          <w:rFonts w:ascii="方正黑体_GBK" w:eastAsia="方正黑体_GBK" w:hint="eastAsia"/>
          <w:bCs/>
          <w:sz w:val="32"/>
          <w:szCs w:val="32"/>
        </w:rPr>
        <w:t>一、一般公共预算财政拨款收入：</w:t>
      </w:r>
      <w:r>
        <w:rPr>
          <w:rFonts w:eastAsia="方正仿宋_GBK" w:hint="eastAsia"/>
          <w:sz w:val="32"/>
          <w:szCs w:val="32"/>
        </w:rPr>
        <w:t>指中央财政当年拨付的资金。</w:t>
      </w:r>
    </w:p>
    <w:p>
      <w:pPr>
        <w:autoSpaceDN w:val="0"/>
        <w:spacing w:line="560" w:lineRule="exact"/>
        <w:ind w:firstLineChars="200" w:firstLine="640"/>
        <w:rPr>
          <w:rFonts w:eastAsia="方正仿宋_GBK"/>
          <w:sz w:val="32"/>
          <w:szCs w:val="32"/>
        </w:rPr>
      </w:pPr>
      <w:r>
        <w:rPr>
          <w:rFonts w:ascii="方正黑体_GBK" w:eastAsia="方正黑体_GBK" w:hint="eastAsia"/>
          <w:bCs/>
          <w:sz w:val="32"/>
          <w:szCs w:val="32"/>
        </w:rPr>
        <w:t>二、其他收入：</w:t>
      </w:r>
      <w:r>
        <w:rPr>
          <w:rFonts w:eastAsia="方正仿宋_GBK" w:hint="eastAsia"/>
          <w:sz w:val="32"/>
          <w:szCs w:val="32"/>
        </w:rPr>
        <w:t>指除上述一般公共预算财政拨款收入、事业收入、事业单位经营收入等以外的收入。主要是非同级财政拨款收入、存款利息收入等。</w:t>
      </w:r>
    </w:p>
    <w:p>
      <w:pPr>
        <w:autoSpaceDN w:val="0"/>
        <w:spacing w:line="560" w:lineRule="exact"/>
        <w:ind w:firstLineChars="200" w:firstLine="640"/>
        <w:rPr>
          <w:rFonts w:eastAsia="方正仿宋_GBK"/>
          <w:sz w:val="32"/>
          <w:szCs w:val="32"/>
        </w:rPr>
      </w:pPr>
      <w:r>
        <w:rPr>
          <w:rFonts w:ascii="方正黑体_GBK" w:eastAsia="方正黑体_GBK" w:hint="eastAsia"/>
          <w:bCs/>
          <w:sz w:val="32"/>
          <w:szCs w:val="32"/>
        </w:rPr>
        <w:t>三、年初结转和结余：</w:t>
      </w:r>
      <w:r>
        <w:rPr>
          <w:rFonts w:eastAsia="方正仿宋_GBK" w:hint="eastAsia"/>
          <w:sz w:val="32"/>
          <w:szCs w:val="32"/>
        </w:rPr>
        <w:t>指单位以前年度尚未完成、结转到本年仍按原规定用途继续使用的资金，或项目已完成等产生的结余资金。</w:t>
      </w:r>
    </w:p>
    <w:p>
      <w:pPr>
        <w:autoSpaceDN w:val="0"/>
        <w:spacing w:line="560" w:lineRule="exact"/>
        <w:ind w:firstLineChars="200" w:firstLine="640"/>
      </w:pPr>
      <w:r>
        <w:rPr>
          <w:rFonts w:ascii="方正黑体_GBK" w:eastAsia="方正黑体_GBK" w:hint="eastAsia"/>
          <w:bCs/>
          <w:sz w:val="32"/>
          <w:szCs w:val="32"/>
        </w:rPr>
        <w:t>四、一般公共服务（类）海关事务（款）：</w:t>
      </w:r>
      <w:r>
        <w:rPr>
          <w:rFonts w:eastAsia="方正仿宋_GBK" w:hint="eastAsia"/>
          <w:sz w:val="32"/>
          <w:szCs w:val="32"/>
        </w:rPr>
        <w:t>反映海关用于系统行政和事业单位的基本支出及完成专项业务工作的项目支出。</w:t>
      </w:r>
    </w:p>
    <w:p>
      <w:pPr>
        <w:autoSpaceDN w:val="0"/>
        <w:spacing w:line="560" w:lineRule="exact"/>
        <w:ind w:firstLineChars="200" w:firstLine="640"/>
        <w:rPr>
          <w:rFonts w:eastAsia="方正仿宋_GBK"/>
          <w:b/>
          <w:bCs/>
          <w:sz w:val="32"/>
          <w:szCs w:val="32"/>
        </w:rPr>
      </w:pPr>
      <w:r>
        <w:rPr>
          <w:rFonts w:ascii="方正楷体_GBK" w:eastAsia="方正楷体_GBK" w:hint="eastAsia"/>
          <w:b/>
          <w:bCs/>
          <w:sz w:val="32"/>
          <w:szCs w:val="32"/>
        </w:rPr>
        <w:t>行政运行（项）</w:t>
      </w:r>
      <w:r>
        <w:rPr>
          <w:rFonts w:eastAsia="方正仿宋_GBK" w:hint="eastAsia"/>
          <w:sz w:val="32"/>
          <w:szCs w:val="32"/>
        </w:rPr>
        <w:t>反映海关系统（包括参照公务员管理的事业单位）的基本支出。</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海关关务（项）</w:t>
      </w:r>
      <w:r>
        <w:rPr>
          <w:rFonts w:eastAsia="方正仿宋_GBK" w:hint="eastAsia"/>
          <w:sz w:val="32"/>
          <w:szCs w:val="32"/>
        </w:rPr>
        <w:t>反映海关现场综合业务费、基本建设和资产运行维护方面的支出。</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海关监管（项）</w:t>
      </w:r>
      <w:r>
        <w:rPr>
          <w:rFonts w:eastAsia="方正仿宋_GBK" w:hint="eastAsia"/>
          <w:sz w:val="32"/>
          <w:szCs w:val="32"/>
        </w:rPr>
        <w:t>反映海关系统用于海关监管查验技术设备购建及运维的支出。</w:t>
      </w:r>
    </w:p>
    <w:p>
      <w:pPr>
        <w:autoSpaceDN w:val="0"/>
        <w:spacing w:line="560" w:lineRule="exact"/>
        <w:ind w:firstLineChars="200" w:firstLine="640"/>
        <w:rPr>
          <w:rFonts w:eastAsia="方正仿宋_GBK"/>
          <w:sz w:val="32"/>
          <w:szCs w:val="32"/>
        </w:rPr>
      </w:pPr>
      <w:r>
        <w:rPr>
          <w:rFonts w:ascii="方正楷体_GBK" w:eastAsia="方正楷体_GBK" w:hint="eastAsia"/>
          <w:b/>
          <w:bCs/>
          <w:sz w:val="32"/>
          <w:szCs w:val="32"/>
        </w:rPr>
        <w:t>检验检疫（项）</w:t>
      </w:r>
      <w:r>
        <w:rPr>
          <w:rFonts w:eastAsia="方正仿宋_GBK" w:hint="eastAsia"/>
          <w:sz w:val="32"/>
          <w:szCs w:val="32"/>
        </w:rPr>
        <w:t>反映海关系统用于检验检疫执法保障及能力提升、检验检疫安全监管、认证认可监督管理支出。</w:t>
      </w:r>
    </w:p>
    <w:p>
      <w:pPr>
        <w:pStyle w:val="54"/>
        <w:spacing w:line="560" w:lineRule="exact"/>
        <w:ind w:firstLineChars="224" w:firstLine="717"/>
        <w:jc w:val="both"/>
        <w:rPr>
          <w:rFonts w:eastAsia="方正仿宋_GBK"/>
          <w:color w:val="auto"/>
          <w:kern w:val="2"/>
          <w:sz w:val="32"/>
          <w:szCs w:val="32"/>
        </w:rPr>
      </w:pPr>
      <w:r>
        <w:rPr>
          <w:rFonts w:ascii="方正黑体_GBK" w:eastAsia="方正黑体_GBK" w:hint="eastAsia"/>
          <w:bCs/>
          <w:color w:val="auto"/>
          <w:kern w:val="2"/>
          <w:sz w:val="32"/>
          <w:szCs w:val="32"/>
        </w:rPr>
        <w:t>五、年末结转和结余：</w:t>
      </w:r>
      <w:r>
        <w:rPr>
          <w:rFonts w:eastAsia="方正仿宋_GBK" w:hint="eastAsia"/>
          <w:color w:val="auto"/>
          <w:kern w:val="2"/>
          <w:sz w:val="32"/>
          <w:szCs w:val="32"/>
        </w:rPr>
        <w:t>指单位按有关规定结转到下年或以后年度继续使用的资金，或项目已完成等产生的结余资金。</w:t>
      </w:r>
    </w:p>
    <w:p>
      <w:pPr>
        <w:pStyle w:val="54"/>
        <w:spacing w:line="560" w:lineRule="exact"/>
        <w:ind w:firstLineChars="224" w:firstLine="717"/>
        <w:jc w:val="both"/>
        <w:rPr>
          <w:rFonts w:eastAsia="方正仿宋_GBK"/>
          <w:color w:val="auto"/>
          <w:sz w:val="32"/>
          <w:szCs w:val="32"/>
        </w:rPr>
      </w:pPr>
      <w:r>
        <w:rPr>
          <w:rFonts w:ascii="方正黑体_GBK" w:eastAsia="方正黑体_GBK" w:hint="eastAsia"/>
          <w:bCs/>
          <w:color w:val="auto"/>
          <w:kern w:val="2"/>
          <w:sz w:val="32"/>
          <w:szCs w:val="32"/>
        </w:rPr>
        <w:t>六、基本支出：</w:t>
      </w:r>
      <w:r>
        <w:rPr>
          <w:rFonts w:eastAsia="方正仿宋_GBK" w:hint="eastAsia"/>
          <w:color w:val="auto"/>
          <w:sz w:val="32"/>
          <w:szCs w:val="32"/>
        </w:rPr>
        <w:t>指为保障机构正常运转、完成日常工作任务而发生的人员支出和公用支出。</w:t>
      </w:r>
    </w:p>
    <w:p>
      <w:pPr>
        <w:autoSpaceDE w:val="0"/>
        <w:autoSpaceDN w:val="0"/>
        <w:adjustRightInd w:val="0"/>
        <w:spacing w:line="560" w:lineRule="exact"/>
        <w:ind w:firstLineChars="224" w:firstLine="717"/>
        <w:rPr>
          <w:rFonts w:eastAsia="方正仿宋_GBK"/>
          <w:kern w:val="0"/>
          <w:sz w:val="32"/>
          <w:szCs w:val="32"/>
        </w:rPr>
      </w:pPr>
      <w:r>
        <w:rPr>
          <w:rFonts w:ascii="方正黑体_GBK" w:eastAsia="方正黑体_GBK" w:hint="eastAsia"/>
          <w:bCs/>
          <w:sz w:val="32"/>
          <w:szCs w:val="32"/>
        </w:rPr>
        <w:t>七、项目支出：</w:t>
      </w:r>
      <w:r>
        <w:rPr>
          <w:rFonts w:eastAsia="方正仿宋_GBK" w:hint="eastAsia"/>
          <w:kern w:val="0"/>
          <w:sz w:val="32"/>
          <w:szCs w:val="32"/>
        </w:rPr>
        <w:t>指在基本支出之外为完成特定行政任务或事业发展目标所发生的支出。</w:t>
      </w:r>
    </w:p>
    <w:p>
      <w:pPr>
        <w:autoSpaceDN w:val="0"/>
        <w:spacing w:line="560" w:lineRule="exact"/>
        <w:ind w:firstLineChars="200" w:firstLine="640"/>
        <w:rPr>
          <w:rFonts w:eastAsia="方正仿宋_GBK"/>
          <w:sz w:val="32"/>
          <w:szCs w:val="32"/>
        </w:rPr>
      </w:pPr>
      <w:r>
        <w:rPr>
          <w:rFonts w:ascii="方正黑体_GBK" w:eastAsia="方正黑体_GBK" w:hint="eastAsia"/>
          <w:bCs/>
          <w:sz w:val="32"/>
          <w:szCs w:val="32"/>
        </w:rPr>
        <w:t>八、“三公经费”：</w:t>
      </w:r>
      <w:r>
        <w:rPr>
          <w:rFonts w:eastAsia="方正仿宋_GBK" w:hint="eastAsia"/>
          <w:sz w:val="32"/>
          <w:szCs w:val="32"/>
        </w:rPr>
        <w:t>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按规定保留的公务用车车辆燃料费、维修费、过桥过路费、保险费、安全奖励费用等支出；公务接待费反映单位按规定开支的各类公务接待（含外宾接待）支出。</w:t>
      </w:r>
    </w:p>
    <w:p>
      <w:pPr>
        <w:autoSpaceDN w:val="0"/>
        <w:spacing w:line="560" w:lineRule="exact"/>
        <w:ind w:firstLineChars="200" w:firstLine="640"/>
        <w:rPr>
          <w:rFonts w:eastAsia="方正仿宋_GBK"/>
          <w:sz w:val="32"/>
          <w:szCs w:val="32"/>
        </w:rPr>
      </w:pPr>
      <w:r>
        <w:rPr>
          <w:rFonts w:ascii="方正黑体_GBK" w:eastAsia="方正黑体_GBK" w:hint="eastAsia"/>
          <w:bCs/>
          <w:sz w:val="32"/>
          <w:szCs w:val="32"/>
        </w:rPr>
        <w:t>九、机关运行经费：</w:t>
      </w:r>
      <w:r>
        <w:rPr>
          <w:rFonts w:eastAsia="方正仿宋_GBK" w:hint="eastAsia"/>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utoSpaceDN w:val="0"/>
        <w:spacing w:line="560" w:lineRule="exact"/>
        <w:ind w:firstLineChars="200" w:firstLine="640"/>
        <w:rPr>
          <w:rFonts w:eastAsia="方正仿宋_GBK"/>
          <w:sz w:val="32"/>
          <w:szCs w:val="32"/>
        </w:rPr>
      </w:pPr>
    </w:p>
    <w:p>
      <w:pPr>
        <w:autoSpaceDN w:val="0"/>
        <w:spacing w:line="560" w:lineRule="exact"/>
        <w:ind w:firstLineChars="200" w:firstLine="1440"/>
        <w:rPr>
          <w:rFonts w:ascii="宋体"/>
          <w:b/>
          <w:sz w:val="72"/>
          <w:szCs w:val="72"/>
        </w:rPr>
      </w:pPr>
    </w:p>
    <w:sectPr>
      <w:pgSz w:w="11907" w:h="16840"/>
      <w:pgMar w:top="1701" w:right="1440" w:bottom="1701" w:left="1440" w:header="851" w:footer="992" w:gutter="0"/>
      <w:docGrid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仿宋">
    <w:panose1 w:val="02010609060101010101"/>
    <w:charset w:val="86"/>
    <w:family w:val="modern"/>
    <w:pitch w:val="variable"/>
    <w:sig w:usb0="800002BF" w:usb1="38CF7CFA" w:usb2="00000016" w:usb3="00000000" w:csb0="00040001"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0000000000000000000"/>
    <w:charset w:val="00"/>
    <w:family w:val="auto"/>
    <w:pitch w:val="variable"/>
    <w:sig w:usb0="00000001" w:usb1="080E0000" w:usb2="00000010" w:usb3="00000000" w:csb0="00040000" w:csb1="00000000"/>
  </w:font>
  <w:font w:name="黑体">
    <w:altName w:val="SimHei"/>
    <w:panose1 w:val="02010609060101010101"/>
    <w:charset w:val="86"/>
    <w:family w:val="modern"/>
    <w:pitch w:val="variable"/>
    <w:sig w:usb0="00000001" w:usb1="080E0000" w:usb2="00000010" w:usb3="00000000" w:csb0="00040000" w:csb1="00000000"/>
  </w:font>
  <w:font w:name="Times New Roman (正文 CS 字体)">
    <w:altName w:val="宋体"/>
    <w:panose1 w:val="00000000000000000000"/>
    <w:charset w:val="86"/>
    <w:family w:val="roman"/>
    <w:pitch w:val="variable"/>
    <w:sig w:usb0="00000000" w:usb1="00000000" w:usb2="00000000" w:usb3="00000000" w:csb0="0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9"/>
      <w:tabs>
        <w:tab w:val="center" w:pos="4153"/>
        <w:tab w:val="right" w:pos="8306"/>
      </w:tabs>
    </w:pPr>
  </w:p>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8"/>
      <w:pBdr>
        <w:bottom w:val="none" w:sz="0" w:space="0" w:color="auto"/>
      </w:pBdr>
      <w:tabs>
        <w:tab w:val="center" w:pos="4153"/>
        <w:tab w:val="right" w:pos="8306"/>
      </w:tabs>
    </w:pP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8"/>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Cambria" w:hAnsi="Cambria"/>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customStyle="1" w:styleId="15">
    <w:name w:val="样式 2 10 磅"/>
    <w:next w:val="0"/>
    <w:pPr>
      <w:widowControl w:val="0"/>
      <w:jc w:val="both"/>
    </w:pPr>
    <w:rPr>
      <w:rFonts w:ascii="Times New Roman" w:eastAsia="宋体" w:cs="Times New Roman" w:hAnsi="Times New Roman"/>
      <w:kern w:val="2"/>
      <w:sz w:val="21"/>
      <w:szCs w:val="24"/>
      <w:lang w:val="en-US" w:eastAsia="zh-CN" w:bidi="ar-SA"/>
    </w:rPr>
  </w:style>
  <w:style w:type="paragraph" w:customStyle="1" w:styleId="16">
    <w:name w:val="Default"/>
    <w:pPr>
      <w:widowControl w:val="0"/>
      <w:autoSpaceDE w:val="0"/>
      <w:autoSpaceDN w:val="0"/>
      <w:adjustRightInd w:val="0"/>
    </w:pPr>
    <w:rPr>
      <w:rFonts w:ascii="Times New Roman" w:eastAsia="宋体" w:cs="Times New Roman" w:hAnsi="Times New Roman"/>
      <w:color w:val="000000"/>
      <w:sz w:val="24"/>
      <w:szCs w:val="24"/>
      <w:lang w:val="en-US" w:eastAsia="zh-CN" w:bidi="ar-SA"/>
    </w:rPr>
  </w:style>
  <w:style w:type="character" w:customStyle="1" w:styleId="17">
    <w:name w:val="im-content1"/>
    <w:basedOn w:val="10"/>
    <w:rPr>
      <w:color w:val="000000"/>
    </w:rPr>
  </w:style>
  <w:style w:type="paragraph" w:customStyle="1" w:styleId="18">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19">
    <w:name w:val="样式 1 10 磅"/>
    <w:pPr>
      <w:widowControl w:val="0"/>
      <w:jc w:val="both"/>
    </w:pPr>
    <w:rPr>
      <w:rFonts w:ascii="Times New Roman" w:eastAsia="宋体" w:cs="Times New Roman" w:hAnsi="Times New Roman"/>
      <w:kern w:val="2"/>
      <w:sz w:val="21"/>
      <w:szCs w:val="24"/>
      <w:lang w:val="en-US" w:eastAsia="zh-CN" w:bidi="ar-SA"/>
    </w:rPr>
  </w:style>
  <w:style w:type="paragraph" w:styleId="20">
    <w:name w:val="toc 3"/>
    <w:basedOn w:val="0"/>
    <w:autoRedefine/>
    <w:next w:val="0"/>
    <w:pPr>
      <w:ind w:left="840"/>
    </w:pPr>
  </w:style>
  <w:style w:type="paragraph" w:styleId="21">
    <w:name w:val="toc 4"/>
    <w:basedOn w:val="0"/>
    <w:autoRedefine/>
    <w:next w:val="0"/>
    <w:pPr>
      <w:ind w:left="1260"/>
    </w:pPr>
  </w:style>
  <w:style w:type="paragraph" w:styleId="22">
    <w:name w:val="toc 5"/>
    <w:basedOn w:val="0"/>
    <w:autoRedefine/>
    <w:next w:val="0"/>
    <w:pPr>
      <w:ind w:left="1680"/>
    </w:pPr>
  </w:style>
  <w:style w:type="paragraph" w:styleId="23">
    <w:name w:val="toc 6"/>
    <w:basedOn w:val="0"/>
    <w:autoRedefine/>
    <w:next w:val="0"/>
    <w:pPr>
      <w:ind w:left="2100"/>
    </w:pPr>
  </w:style>
  <w:style w:type="paragraph" w:customStyle="1" w:styleId="24">
    <w:name w:val="样式 3 10 磅"/>
    <w:pPr>
      <w:widowControl w:val="0"/>
      <w:jc w:val="both"/>
    </w:pPr>
    <w:rPr>
      <w:rFonts w:ascii="Times New Roman" w:eastAsia="宋体" w:cs="Times New Roman" w:hAnsi="Times New Roman"/>
      <w:kern w:val="2"/>
      <w:sz w:val="21"/>
      <w:szCs w:val="24"/>
      <w:lang w:val="en-US" w:eastAsia="zh-CN" w:bidi="ar-SA"/>
    </w:rPr>
  </w:style>
  <w:style w:type="paragraph" w:customStyle="1" w:styleId="25">
    <w:name w:val="样式 三号"/>
    <w:pPr>
      <w:widowControl w:val="0"/>
      <w:jc w:val="both"/>
    </w:pPr>
    <w:rPr>
      <w:rFonts w:ascii="Times New Roman" w:eastAsia="方正仿宋_GBK" w:cs="Times New Roman" w:hAnsi="Times New Roman"/>
      <w:kern w:val="2"/>
      <w:sz w:val="32"/>
      <w:lang w:val="en-US" w:eastAsia="zh-CN" w:bidi="ar-SA"/>
    </w:rPr>
  </w:style>
  <w:style w:type="paragraph" w:customStyle="1" w:styleId="26">
    <w:name w:val="样式 5 小四"/>
    <w:next w:val="20"/>
    <w:rPr>
      <w:rFonts w:ascii="Times New Roman" w:eastAsia="宋体" w:cs="Times New Roman" w:hAnsi="Times New Roman"/>
      <w:sz w:val="24"/>
      <w:szCs w:val="24"/>
      <w:lang w:val="en-US" w:eastAsia="zh-CN" w:bidi="ar-SA"/>
    </w:rPr>
  </w:style>
  <w:style w:type="paragraph" w:customStyle="1" w:styleId="27">
    <w:name w:val="样式 6 小四"/>
    <w:next w:val="21"/>
    <w:rPr>
      <w:rFonts w:ascii="Times New Roman" w:eastAsia="宋体" w:cs="Times New Roman" w:hAnsi="Times New Roman"/>
      <w:sz w:val="24"/>
      <w:szCs w:val="24"/>
      <w:lang w:val="en-US" w:eastAsia="zh-CN" w:bidi="ar-SA"/>
    </w:rPr>
  </w:style>
  <w:style w:type="paragraph" w:customStyle="1" w:styleId="28">
    <w:name w:val="样式 2 三号"/>
    <w:next w:val="22"/>
    <w:pPr>
      <w:jc w:val="both"/>
    </w:pPr>
    <w:rPr>
      <w:rFonts w:ascii="Times New Roman" w:eastAsia="宋体" w:cs="Times New Roman" w:hAnsi="Times New Roman"/>
      <w:sz w:val="32"/>
      <w:szCs w:val="32"/>
      <w:lang w:val="en-US" w:eastAsia="zh-CN" w:bidi="ar-SA"/>
    </w:rPr>
  </w:style>
  <w:style w:type="paragraph" w:customStyle="1" w:styleId="29">
    <w:name w:val="样式 7 小四"/>
    <w:next w:val="23"/>
    <w:rPr>
      <w:rFonts w:ascii="宋体" w:eastAsia="宋体" w:cs="宋体"/>
      <w:sz w:val="24"/>
      <w:szCs w:val="24"/>
      <w:lang w:val="en-US" w:eastAsia="zh-CN" w:bidi="ar-SA"/>
    </w:rPr>
  </w:style>
  <w:style w:type="paragraph" w:customStyle="1" w:styleId="30">
    <w:name w:val="样式 1 三号"/>
    <w:pPr>
      <w:widowControl w:val="0"/>
      <w:jc w:val="both"/>
    </w:pPr>
    <w:rPr>
      <w:rFonts w:ascii="Times New Roman" w:eastAsia="方正仿宋_GBK" w:cs="Times New Roman" w:hAnsi="Times New Roman"/>
      <w:kern w:val="2"/>
      <w:sz w:val="32"/>
      <w:lang w:val="en-US" w:eastAsia="zh-CN" w:bidi="ar-SA"/>
    </w:rPr>
  </w:style>
  <w:style w:type="paragraph" w:customStyle="1" w:styleId="31">
    <w:name w:val="样式 小三"/>
    <w:pPr>
      <w:widowControl w:val="0"/>
      <w:jc w:val="both"/>
    </w:pPr>
    <w:rPr>
      <w:rFonts w:ascii="Times New Roman" w:eastAsia="仿宋_GB2312" w:cs="Times New Roman" w:hAnsi="Times New Roman"/>
      <w:kern w:val="2"/>
      <w:sz w:val="30"/>
      <w:szCs w:val="30"/>
      <w:lang w:val="en-US" w:eastAsia="zh-CN" w:bidi="ar-SA"/>
    </w:rPr>
  </w:style>
  <w:style w:type="paragraph" w:customStyle="1" w:styleId="32">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33">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34">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35">
    <w:name w:val="样式 7 10 磅"/>
    <w:pPr>
      <w:widowControl w:val="0"/>
      <w:jc w:val="both"/>
    </w:pPr>
    <w:rPr>
      <w:rFonts w:ascii="Times New Roman" w:eastAsia="宋体" w:cs="Times New Roman" w:hAnsi="Times New Roman"/>
      <w:kern w:val="2"/>
      <w:sz w:val="21"/>
      <w:szCs w:val="24"/>
      <w:lang w:val="en-US" w:eastAsia="zh-CN" w:bidi="ar-SA"/>
    </w:rPr>
  </w:style>
  <w:style w:type="paragraph" w:customStyle="1" w:styleId="36">
    <w:name w:val="样式 小四"/>
    <w:pPr>
      <w:widowControl w:val="0"/>
    </w:pPr>
    <w:rPr>
      <w:rFonts w:ascii="宋体" w:eastAsia="宋体" w:cs="Times New Roman"/>
      <w:kern w:val="2"/>
      <w:sz w:val="24"/>
      <w:szCs w:val="21"/>
      <w:lang w:val="en-US" w:eastAsia="zh-CN" w:bidi="ar-SA"/>
    </w:rPr>
  </w:style>
  <w:style w:type="paragraph" w:styleId="37">
    <w:name w:val="Balloon Text"/>
    <w:basedOn w:val="0"/>
    <w:rPr>
      <w:sz w:val="18"/>
      <w:szCs w:val="18"/>
    </w:rPr>
  </w:style>
  <w:style w:type="paragraph" w:styleId="38">
    <w:name w:val="header"/>
    <w:basedOn w:val="0"/>
    <w:pPr>
      <w:pBdr>
        <w:bottom w:val="single" w:sz="6" w:space="1" w:color="auto"/>
      </w:pBdr>
      <w:tabs>
        <w:tab w:val="center" w:pos="4153"/>
        <w:tab w:val="right" w:pos="8306"/>
      </w:tabs>
      <w:snapToGrid w:val="0"/>
      <w:jc w:val="center"/>
    </w:pPr>
    <w:rPr>
      <w:sz w:val="18"/>
      <w:szCs w:val="18"/>
    </w:rPr>
  </w:style>
  <w:style w:type="paragraph" w:styleId="39">
    <w:name w:val="footer"/>
    <w:basedOn w:val="0"/>
    <w:pPr>
      <w:tabs>
        <w:tab w:val="center" w:pos="4153"/>
        <w:tab w:val="right" w:pos="8306"/>
      </w:tabs>
      <w:snapToGrid w:val="0"/>
      <w:jc w:val="left"/>
    </w:pPr>
    <w:rPr>
      <w:sz w:val="18"/>
      <w:szCs w:val="18"/>
    </w:rPr>
  </w:style>
  <w:style w:type="paragraph" w:customStyle="1" w:styleId="40">
    <w:name w:val="样式 8 10 磅"/>
    <w:pPr>
      <w:widowControl w:val="0"/>
      <w:jc w:val="both"/>
    </w:pPr>
    <w:rPr>
      <w:rFonts w:ascii="Times New Roman" w:eastAsia="宋体" w:cs="Times New Roman" w:hAnsi="Times New Roman"/>
      <w:kern w:val="2"/>
      <w:sz w:val="21"/>
      <w:szCs w:val="24"/>
      <w:lang w:val="en-US" w:eastAsia="zh-CN" w:bidi="ar-SA"/>
    </w:rPr>
  </w:style>
  <w:style w:type="paragraph" w:customStyle="1" w:styleId="41">
    <w:name w:val="样式 9 10 磅"/>
    <w:pPr>
      <w:widowControl w:val="0"/>
      <w:jc w:val="both"/>
    </w:pPr>
    <w:rPr>
      <w:rFonts w:ascii="Times New Roman" w:eastAsia="宋体" w:cs="Times New Roman" w:hAnsi="Times New Roman"/>
      <w:kern w:val="2"/>
      <w:sz w:val="21"/>
      <w:szCs w:val="24"/>
      <w:lang w:val="en-US" w:eastAsia="zh-CN" w:bidi="ar-SA"/>
    </w:rPr>
  </w:style>
  <w:style w:type="paragraph" w:customStyle="1" w:styleId="42">
    <w:name w:val="样式 10 10 磅"/>
    <w:pPr>
      <w:widowControl w:val="0"/>
      <w:jc w:val="both"/>
    </w:pPr>
    <w:rPr>
      <w:rFonts w:ascii="Times New Roman" w:eastAsia="宋体" w:cs="Times New Roman" w:hAnsi="Times New Roman"/>
      <w:kern w:val="2"/>
      <w:sz w:val="21"/>
      <w:szCs w:val="24"/>
      <w:lang w:val="en-US" w:eastAsia="zh-CN" w:bidi="ar-SA"/>
    </w:rPr>
  </w:style>
  <w:style w:type="paragraph" w:customStyle="1" w:styleId="43">
    <w:name w:val="样式 11 10 磅"/>
    <w:pPr>
      <w:widowControl w:val="0"/>
      <w:jc w:val="both"/>
    </w:pPr>
    <w:rPr>
      <w:rFonts w:ascii="Times New Roman" w:eastAsia="宋体" w:cs="Times New Roman" w:hAnsi="Times New Roman"/>
      <w:kern w:val="2"/>
      <w:sz w:val="21"/>
      <w:szCs w:val="24"/>
      <w:lang w:val="en-US" w:eastAsia="zh-CN" w:bidi="ar-SA"/>
    </w:rPr>
  </w:style>
  <w:style w:type="paragraph" w:customStyle="1" w:styleId="44">
    <w:name w:val="样式 12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3 10 磅"/>
    <w:pPr>
      <w:widowControl w:val="0"/>
      <w:jc w:val="both"/>
    </w:pPr>
    <w:rPr>
      <w:rFonts w:ascii="Times New Roman" w:eastAsia="宋体" w:cs="Times New Roman" w:hAnsi="Times New Roman"/>
      <w:kern w:val="2"/>
      <w:sz w:val="21"/>
      <w:szCs w:val="24"/>
      <w:lang w:val="en-US" w:eastAsia="zh-CN" w:bidi="ar-SA"/>
    </w:rPr>
  </w:style>
  <w:style w:type="paragraph" w:customStyle="1" w:styleId="46">
    <w:name w:val="样式 14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15 10 磅"/>
    <w:pPr>
      <w:widowControl w:val="0"/>
      <w:jc w:val="both"/>
    </w:pPr>
    <w:rPr>
      <w:rFonts w:ascii="Times New Roman" w:eastAsia="宋体" w:cs="Times New Roman" w:hAnsi="Times New Roman"/>
      <w:kern w:val="2"/>
      <w:sz w:val="21"/>
      <w:szCs w:val="24"/>
      <w:lang w:val="en-US" w:eastAsia="zh-CN" w:bidi="ar-SA"/>
    </w:rPr>
  </w:style>
  <w:style w:type="paragraph" w:customStyle="1" w:styleId="48">
    <w:name w:val="样式 16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50">
    <w:name w:val="样式 18 10 磅"/>
    <w:pPr>
      <w:widowControl w:val="0"/>
      <w:jc w:val="both"/>
    </w:pPr>
    <w:rPr>
      <w:rFonts w:ascii="Times New Roman" w:eastAsia="宋体" w:cs="Times New Roman" w:hAnsi="Times New Roman"/>
      <w:kern w:val="2"/>
      <w:sz w:val="21"/>
      <w:szCs w:val="24"/>
      <w:lang w:val="en-US" w:eastAsia="zh-CN" w:bidi="ar-SA"/>
    </w:rPr>
  </w:style>
  <w:style w:type="paragraph" w:customStyle="1" w:styleId="51">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52">
    <w:name w:val="样式 20 10 磅"/>
    <w:pPr>
      <w:widowControl w:val="0"/>
      <w:jc w:val="both"/>
    </w:pPr>
    <w:rPr>
      <w:rFonts w:ascii="Times New Roman" w:eastAsia="宋体" w:cs="Times New Roman" w:hAnsi="Times New Roman"/>
      <w:kern w:val="2"/>
      <w:sz w:val="21"/>
      <w:szCs w:val="24"/>
      <w:lang w:val="en-US" w:eastAsia="zh-CN" w:bidi="ar-SA"/>
    </w:rPr>
  </w:style>
  <w:style w:type="paragraph" w:customStyle="1" w:styleId="53">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54">
    <w:name w:val="样式 1 小四"/>
    <w:pPr>
      <w:widowControl w:val="0"/>
      <w:autoSpaceDE w:val="0"/>
      <w:autoSpaceDN w:val="0"/>
      <w:adjustRightInd w:val="0"/>
    </w:pPr>
    <w:rPr>
      <w:rFonts w:ascii="Times New Roman" w:eastAsia="宋体" w:cs="Times New Roman" w:hAnsi="Times New Roman"/>
      <w:color w:val="000000"/>
      <w:sz w:val="24"/>
      <w:szCs w:val="24"/>
      <w:lang w:val="en-US" w:eastAsia="zh-CN" w:bidi="ar-SA"/>
    </w:rPr>
  </w:style>
  <w:style w:type="paragraph" w:customStyle="1" w:styleId="55">
    <w:name w:val="样式 1 小三"/>
    <w:pPr>
      <w:widowControl w:val="0"/>
      <w:jc w:val="both"/>
    </w:pPr>
    <w:rPr>
      <w:rFonts w:ascii="Times New Roman" w:eastAsia="仿宋_GB2312" w:cs="Times New Roman" w:hAnsi="Times New Roman"/>
      <w:kern w:val="2"/>
      <w:sz w:val="30"/>
      <w:szCs w:val="30"/>
      <w:lang w:val="en-US" w:eastAsia="zh-CN" w:bidi="ar-SA"/>
    </w:rPr>
  </w:style>
  <w:style w:type="paragraph" w:styleId="56">
    <w:name w:val="Body Text"/>
    <w:pPr>
      <w:widowControl w:val="0"/>
      <w:autoSpaceDE w:val="0"/>
      <w:autoSpaceDN w:val="0"/>
    </w:pPr>
    <w:rPr>
      <w:rFonts w:ascii="仿宋" w:eastAsia="仿宋" w:cs="仿宋"/>
      <w:sz w:val="32"/>
      <w:szCs w:val="32"/>
      <w:lang w:val="zh-CN" w:eastAsia="zh-CN" w:bidi="ar-SA"/>
    </w:rPr>
  </w:style>
  <w:style w:type="paragraph" w:customStyle="1" w:styleId="57">
    <w:name w:val="样式 3 三号"/>
    <w:next w:val="59"/>
    <w:pPr>
      <w:widowControl w:val="0"/>
      <w:jc w:val="both"/>
    </w:pPr>
    <w:rPr>
      <w:rFonts w:ascii="Times New Roman" w:eastAsia="方正仿宋_GBK" w:cs="Times New Roman" w:hAnsi="Times New Roman"/>
      <w:kern w:val="2"/>
      <w:sz w:val="32"/>
      <w:lang w:val="en-US" w:eastAsia="zh-CN" w:bidi="ar-SA"/>
    </w:rPr>
  </w:style>
  <w:style w:type="paragraph" w:customStyle="1" w:styleId="58">
    <w:name w:val="样式 71 三号"/>
    <w:next w:val="16"/>
    <w:pPr>
      <w:widowControl w:val="0"/>
      <w:autoSpaceDE w:val="0"/>
      <w:autoSpaceDN w:val="0"/>
    </w:pPr>
    <w:rPr>
      <w:rFonts w:ascii="仿宋" w:eastAsia="仿宋" w:cs="仿宋"/>
      <w:sz w:val="32"/>
      <w:szCs w:val="32"/>
      <w:lang w:val="zh-CN" w:eastAsia="zh-CN" w:bidi="ar-SA"/>
    </w:rPr>
  </w:style>
  <w:style w:type="paragraph" w:customStyle="1" w:styleId="59">
    <w:name w:val="样式 3 三号1"/>
    <w:pPr>
      <w:widowControl w:val="0"/>
      <w:jc w:val="both"/>
    </w:pPr>
    <w:rPr>
      <w:rFonts w:ascii="Times New Roman" w:eastAsia="方正仿宋_GBK" w:cs="Times New Roman" w:hAnsi="Times New Roman"/>
      <w:kern w:val="2"/>
      <w:sz w:val="32"/>
      <w:lang w:val="en-US" w:eastAsia="zh-CN" w:bidi="ar-SA"/>
    </w:rPr>
  </w:style>
  <w:style w:type="paragraph" w:customStyle="1" w:styleId="60">
    <w:name w:val="样式 22 10 磅"/>
    <w:pPr>
      <w:widowControl w:val="0"/>
      <w:jc w:val="both"/>
    </w:pPr>
    <w:rPr>
      <w:rFonts w:ascii="Times New Roman" w:eastAsia="宋体" w:cs="Times New Roman" w:hAnsi="Times New Roman"/>
      <w:kern w:val="2"/>
      <w:sz w:val="21"/>
      <w:szCs w:val="24"/>
      <w:lang w:val="en-US" w:eastAsia="zh-CN" w:bidi="ar-SA"/>
    </w:rPr>
  </w:style>
  <w:style w:type="paragraph" w:customStyle="1" w:styleId="61">
    <w:name w:val="样式 23 10 磅"/>
    <w:pPr>
      <w:widowControl w:val="0"/>
      <w:jc w:val="both"/>
    </w:pPr>
    <w:rPr>
      <w:rFonts w:ascii="Times New Roman" w:eastAsia="宋体" w:cs="Times New Roman" w:hAnsi="Times New Roman"/>
      <w:kern w:val="2"/>
      <w:sz w:val="21"/>
      <w:szCs w:val="24"/>
      <w:lang w:val="en-US" w:eastAsia="zh-CN" w:bidi="ar-SA"/>
    </w:rPr>
  </w:style>
  <w:style w:type="paragraph" w:customStyle="1" w:styleId="62">
    <w:name w:val="样式 24 10 磅"/>
    <w:pPr>
      <w:widowControl w:val="0"/>
      <w:jc w:val="both"/>
    </w:pPr>
    <w:rPr>
      <w:rFonts w:ascii="Times New Roman" w:eastAsia="宋体" w:cs="Times New Roman" w:hAnsi="Times New Roman"/>
      <w:kern w:val="2"/>
      <w:sz w:val="21"/>
      <w:szCs w:val="24"/>
      <w:lang w:val="en-US" w:eastAsia="zh-CN" w:bidi="ar-SA"/>
    </w:rPr>
  </w:style>
  <w:style w:type="paragraph" w:customStyle="1" w:styleId="63">
    <w:name w:val="样式 25 10 磅"/>
    <w:pPr>
      <w:widowControl w:val="0"/>
      <w:jc w:val="both"/>
    </w:pPr>
    <w:rPr>
      <w:rFonts w:ascii="Times New Roman" w:eastAsia="宋体" w:cs="Times New Roman" w:hAnsi="Times New Roman"/>
      <w:kern w:val="2"/>
      <w:sz w:val="21"/>
      <w:szCs w:val="24"/>
      <w:lang w:val="en-US" w:eastAsia="zh-CN" w:bidi="ar-SA"/>
    </w:rPr>
  </w:style>
  <w:style w:type="paragraph" w:customStyle="1" w:styleId="64">
    <w:name w:val="样式 26 10 磅"/>
    <w:pPr>
      <w:widowControl w:val="0"/>
      <w:jc w:val="both"/>
    </w:pPr>
    <w:rPr>
      <w:rFonts w:ascii="Times New Roman" w:eastAsia="宋体" w:cs="Times New Roman" w:hAnsi="Times New Roman"/>
      <w:kern w:val="2"/>
      <w:sz w:val="21"/>
      <w:szCs w:val="24"/>
      <w:lang w:val="en-US" w:eastAsia="zh-CN" w:bidi="ar-SA"/>
    </w:rPr>
  </w:style>
  <w:style w:type="paragraph" w:customStyle="1" w:styleId="65">
    <w:name w:val="样式 27 10 磅"/>
    <w:pPr>
      <w:widowControl w:val="0"/>
      <w:jc w:val="both"/>
    </w:pPr>
    <w:rPr>
      <w:rFonts w:ascii="Times New Roman" w:eastAsia="宋体" w:cs="Times New Roman" w:hAnsi="Times New Roman"/>
      <w:kern w:val="2"/>
      <w:sz w:val="21"/>
      <w:szCs w:val="24"/>
      <w:lang w:val="en-US" w:eastAsia="zh-CN" w:bidi="ar-SA"/>
    </w:rPr>
  </w:style>
  <w:style w:type="paragraph" w:customStyle="1" w:styleId="66">
    <w:name w:val="样式 28 10 磅"/>
    <w:pPr>
      <w:widowControl w:val="0"/>
      <w:jc w:val="both"/>
    </w:pPr>
    <w:rPr>
      <w:rFonts w:ascii="Times New Roman" w:eastAsia="宋体" w:cs="Times New Roman" w:hAnsi="Times New Roman"/>
      <w:kern w:val="2"/>
      <w:sz w:val="21"/>
      <w:szCs w:val="24"/>
      <w:lang w:val="en-US" w:eastAsia="zh-CN" w:bidi="ar-SA"/>
    </w:rPr>
  </w:style>
  <w:style w:type="paragraph" w:customStyle="1" w:styleId="67">
    <w:name w:val="样式 29 10 磅"/>
    <w:pPr>
      <w:widowControl w:val="0"/>
      <w:jc w:val="both"/>
    </w:pPr>
    <w:rPr>
      <w:rFonts w:ascii="Times New Roman" w:eastAsia="宋体" w:cs="Times New Roman" w:hAnsi="Times New Roman"/>
      <w:kern w:val="2"/>
      <w:sz w:val="21"/>
      <w:szCs w:val="24"/>
      <w:lang w:val="en-US" w:eastAsia="zh-CN" w:bidi="ar-SA"/>
    </w:rPr>
  </w:style>
  <w:style w:type="paragraph" w:customStyle="1" w:styleId="68">
    <w:name w:val="样式 30 10 磅"/>
    <w:pPr>
      <w:widowControl w:val="0"/>
      <w:jc w:val="both"/>
    </w:pPr>
    <w:rPr>
      <w:rFonts w:ascii="Times New Roman" w:eastAsia="宋体" w:cs="Times New Roman" w:hAnsi="Times New Roman"/>
      <w:kern w:val="2"/>
      <w:sz w:val="21"/>
      <w:szCs w:val="24"/>
      <w:lang w:val="en-US" w:eastAsia="zh-CN" w:bidi="ar-SA"/>
    </w:rPr>
  </w:style>
  <w:style w:type="paragraph" w:customStyle="1" w:styleId="69">
    <w:name w:val="样式 31 10 磅"/>
    <w:pPr>
      <w:widowControl w:val="0"/>
      <w:jc w:val="both"/>
    </w:pPr>
    <w:rPr>
      <w:rFonts w:ascii="Times New Roman" w:eastAsia="宋体" w:cs="Times New Roman" w:hAnsi="Times New Roman"/>
      <w:kern w:val="2"/>
      <w:sz w:val="21"/>
      <w:szCs w:val="24"/>
      <w:lang w:val="en-US" w:eastAsia="zh-CN" w:bidi="ar-SA"/>
    </w:rPr>
  </w:style>
  <w:style w:type="paragraph" w:customStyle="1" w:styleId="70">
    <w:name w:val="样式 32 10 磅"/>
    <w:pPr>
      <w:widowControl w:val="0"/>
      <w:jc w:val="both"/>
    </w:pPr>
    <w:rPr>
      <w:rFonts w:ascii="Times New Roman" w:eastAsia="宋体" w:cs="Times New Roman" w:hAnsi="Times New Roman"/>
      <w:kern w:val="2"/>
      <w:sz w:val="21"/>
      <w:szCs w:val="24"/>
      <w:lang w:val="en-US" w:eastAsia="zh-CN" w:bidi="ar-SA"/>
    </w:rPr>
  </w:style>
  <w:style w:type="paragraph" w:customStyle="1" w:styleId="71">
    <w:name w:val="样式 33 10 磅"/>
    <w:pPr>
      <w:widowControl w:val="0"/>
      <w:jc w:val="both"/>
    </w:pPr>
    <w:rPr>
      <w:rFonts w:ascii="Times New Roman" w:eastAsia="宋体" w:cs="Times New Roman" w:hAnsi="Times New Roman"/>
      <w:kern w:val="2"/>
      <w:sz w:val="21"/>
      <w:szCs w:val="24"/>
      <w:lang w:val="en-US" w:eastAsia="zh-CN" w:bidi="ar-SA"/>
    </w:rPr>
  </w:style>
  <w:style w:type="paragraph" w:customStyle="1" w:styleId="72">
    <w:name w:val="TOC 标题1"/>
    <w:basedOn w:val="1"/>
    <w:next w:val="0"/>
    <w:pPr>
      <w:keepNext/>
      <w:keepLines/>
      <w:widowControl/>
      <w:spacing w:before="480" w:after="0" w:line="276" w:lineRule="auto"/>
      <w:jc w:val="left"/>
      <w:outlineLvl w:val="9"/>
    </w:pPr>
    <w:rPr>
      <w:rFonts w:ascii="Cambria" w:hAnsi="Cambria"/>
      <w:color w:val="365F91"/>
      <w:kern w:val="0"/>
      <w:sz w:val="28"/>
      <w:szCs w:val="28"/>
    </w:rPr>
  </w:style>
  <w:style w:type="character" w:styleId="73">
    <w:name w:val="annotation reference"/>
    <w:basedOn w:val="10"/>
    <w:rPr>
      <w:sz w:val="21"/>
      <w:szCs w:val="21"/>
    </w:rPr>
  </w:style>
  <w:style w:type="paragraph" w:styleId="74">
    <w:name w:val="annotation text"/>
    <w:basedOn w:val="0"/>
    <w:pPr>
      <w:jc w:val="left"/>
    </w:pPr>
  </w:style>
  <w:style w:type="paragraph" w:styleId="75">
    <w:name w:val="annotation subject"/>
    <w:basedOn w:val="74"/>
    <w:next w:val="74"/>
    <w:rPr>
      <w:b/>
      <w:bCs/>
    </w:rPr>
  </w:style>
  <w:style w:type="paragraph" w:styleId="76">
    <w:name w:val="Title"/>
    <w:basedOn w:val="0"/>
    <w:next w:val="0"/>
    <w:pPr>
      <w:spacing w:line="360" w:lineRule="auto"/>
      <w:jc w:val="center"/>
    </w:pPr>
    <w:rPr>
      <w:rFonts w:ascii="黑体" w:eastAsia="黑体" w:cs="Times New Roman (正文 CS 字体)"/>
      <w:b/>
      <w:sz w:val="60"/>
      <w:szCs w:val="6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image" Target="media/2.png"/><Relationship Id="rId6" Type="http://schemas.openxmlformats.org/officeDocument/2006/relationships/image" Target="media/5.png"/><Relationship Id="rId7" Type="http://schemas.openxmlformats.org/officeDocument/2006/relationships/image" Target="media/8.png"/><Relationship Id="rId8" Type="http://schemas.openxmlformats.org/officeDocument/2006/relationships/image" Target="media/11.png"/><Relationship Id="rId9" Type="http://schemas.openxmlformats.org/officeDocument/2006/relationships/image" Target="media/14.png"/><Relationship Id="rId10" Type="http://schemas.openxmlformats.org/officeDocument/2006/relationships/styles" Target="styles.xml"/><Relationship Id="rId11" Type="http://schemas.openxmlformats.org/officeDocument/2006/relationships/fontTable" Target="fontTable.xml"/></Relationships>
</file>

<file path=docProps/app.xml><?xml version="1.0" encoding="utf-8"?>
<Properties xmlns="http://schemas.openxmlformats.org/officeDocument/2006/extended-properties">
  <Template>Normal.eit</Template>
  <TotalTime>97</TotalTime>
  <Application>Yozo_Office</Application>
  <Pages>1</Pages>
  <Words>0</Words>
  <Characters>0</Characters>
  <Lines>1</Lines>
  <Paragraphs>0</Paragraphs>
  <CharactersWithSpaces>1</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海关总署2019年度</dc:title>
  <dc:creator>lu_wei</dc:creator>
  <cp:lastModifiedBy>AutoBVT</cp:lastModifiedBy>
  <cp:revision>9</cp:revision>
  <cp:lastPrinted>2023-08-05T03:01:00Z</cp:lastPrinted>
  <dcterms:created xsi:type="dcterms:W3CDTF">2023-08-15T08:29:00Z</dcterms:created>
  <dcterms:modified xsi:type="dcterms:W3CDTF">2023-08-25T08:41:08Z</dcterms:modified>
</cp:coreProperties>
</file>