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utoSpaceDN w:val="0"/>
        <w:spacing w:line="560" w:lineRule="exact"/>
        <w:rPr>
          <w:b/>
          <w:bCs/>
          <w:sz w:val="84"/>
          <w:szCs w:val="84"/>
        </w:rPr>
      </w:pPr>
      <w:bookmarkStart w:id="0" w:name="_GoBack"/>
      <w:bookmarkEnd w:id="0"/>
    </w:p>
    <w:p>
      <w:pPr>
        <w:autoSpaceDN w:val="0"/>
        <w:spacing w:line="560" w:lineRule="exact"/>
        <w:rPr>
          <w:b/>
          <w:bCs/>
          <w:sz w:val="84"/>
          <w:szCs w:val="84"/>
        </w:rPr>
      </w:pPr>
    </w:p>
    <w:p>
      <w:pPr>
        <w:autoSpaceDN w:val="0"/>
        <w:spacing w:line="560" w:lineRule="exact"/>
        <w:rPr>
          <w:b/>
          <w:bCs/>
          <w:sz w:val="84"/>
          <w:szCs w:val="84"/>
        </w:rPr>
      </w:pPr>
    </w:p>
    <w:p>
      <w:pPr>
        <w:autoSpaceDN w:val="0"/>
        <w:spacing w:line="560" w:lineRule="exact"/>
        <w:rPr>
          <w:b/>
          <w:bCs/>
          <w:sz w:val="84"/>
          <w:szCs w:val="84"/>
        </w:rPr>
      </w:pPr>
    </w:p>
    <w:p>
      <w:pPr>
        <w:autoSpaceDN w:val="0"/>
        <w:spacing w:line="560" w:lineRule="exact"/>
        <w:rPr>
          <w:b/>
          <w:bCs/>
          <w:sz w:val="84"/>
          <w:szCs w:val="84"/>
        </w:rPr>
      </w:pPr>
    </w:p>
    <w:p>
      <w:pPr>
        <w:autoSpaceDN w:val="0"/>
        <w:spacing w:line="560" w:lineRule="exact"/>
        <w:rPr>
          <w:b/>
          <w:bCs/>
          <w:sz w:val="84"/>
          <w:szCs w:val="84"/>
        </w:rPr>
      </w:pPr>
    </w:p>
    <w:p>
      <w:pPr>
        <w:autoSpaceDN w:val="0"/>
        <w:spacing w:line="560" w:lineRule="exact"/>
        <w:rPr>
          <w:b/>
          <w:bCs/>
          <w:sz w:val="84"/>
          <w:szCs w:val="84"/>
        </w:rPr>
      </w:pPr>
    </w:p>
    <w:p>
      <w:pPr>
        <w:autoSpaceDN w:val="0"/>
        <w:spacing w:line="560" w:lineRule="exact"/>
        <w:rPr>
          <w:b/>
          <w:bCs/>
          <w:sz w:val="84"/>
          <w:szCs w:val="84"/>
        </w:rPr>
      </w:pPr>
    </w:p>
    <w:p>
      <w:pPr>
        <w:autoSpaceDN w:val="0"/>
        <w:spacing w:line="560" w:lineRule="exact"/>
        <w:rPr>
          <w:b/>
          <w:bCs/>
          <w:sz w:val="84"/>
          <w:szCs w:val="84"/>
        </w:rPr>
      </w:pPr>
    </w:p>
    <w:p>
      <w:pPr>
        <w:autoSpaceDN w:val="0"/>
        <w:jc w:val="center"/>
        <w:rPr>
          <w:b/>
          <w:bCs/>
          <w:sz w:val="84"/>
          <w:szCs w:val="84"/>
        </w:rPr>
      </w:pPr>
      <w:r>
        <w:rPr>
          <w:b/>
          <w:bCs/>
          <w:sz w:val="84"/>
          <w:szCs w:val="84"/>
        </w:rPr>
        <w:t>20</w:t>
      </w:r>
      <w:r>
        <w:rPr>
          <w:rFonts w:hint="eastAsia"/>
          <w:b/>
          <w:bCs/>
          <w:sz w:val="84"/>
          <w:szCs w:val="84"/>
        </w:rPr>
        <w:t>22年度</w:t>
      </w:r>
    </w:p>
    <w:p>
      <w:pPr>
        <w:autoSpaceDN w:val="0"/>
        <w:jc w:val="center"/>
        <w:rPr>
          <w:b/>
          <w:bCs/>
          <w:sz w:val="84"/>
          <w:szCs w:val="84"/>
        </w:rPr>
      </w:pPr>
      <w:r>
        <w:rPr>
          <w:rFonts w:hint="eastAsia"/>
          <w:b/>
          <w:bCs/>
          <w:sz w:val="84"/>
          <w:szCs w:val="84"/>
        </w:rPr>
        <w:t>涪陵</w:t>
      </w:r>
      <w:r>
        <w:rPr>
          <w:b/>
          <w:bCs/>
          <w:sz w:val="84"/>
          <w:szCs w:val="84"/>
        </w:rPr>
        <w:t>海关</w:t>
      </w:r>
      <w:r>
        <w:rPr>
          <w:rFonts w:hint="eastAsia"/>
          <w:b/>
          <w:bCs/>
          <w:sz w:val="84"/>
          <w:szCs w:val="84"/>
        </w:rPr>
        <w:t>部门决算</w:t>
      </w:r>
      <w:r>
        <w:rPr>
          <w:b/>
          <w:bCs/>
          <w:sz w:val="84"/>
          <w:szCs w:val="84"/>
        </w:rPr>
        <w:br w:type="page"/>
      </w:r>
      <w:r>
        <w:rPr>
          <w:rFonts w:hint="eastAsia"/>
          <w:b/>
          <w:bCs/>
          <w:sz w:val="84"/>
          <w:szCs w:val="84"/>
        </w:rPr>
        <w:t>目</w:t>
      </w:r>
      <w:r>
        <w:rPr>
          <w:b/>
          <w:bCs/>
          <w:sz w:val="84"/>
          <w:szCs w:val="84"/>
        </w:rPr>
        <w:t xml:space="preserve">  </w:t>
      </w:r>
      <w:r>
        <w:rPr>
          <w:rFonts w:hint="eastAsia"/>
          <w:b/>
          <w:bCs/>
          <w:sz w:val="84"/>
          <w:szCs w:val="84"/>
        </w:rPr>
        <w:t>录</w:t>
      </w:r>
    </w:p>
    <w:p>
      <w:pPr>
        <w:autoSpaceDN w:val="0"/>
        <w:spacing w:line="560" w:lineRule="exact"/>
        <w:rPr>
          <w:rFonts w:eastAsia="方正黑体_GBK"/>
          <w:sz w:val="44"/>
          <w:szCs w:val="44"/>
        </w:rPr>
      </w:pPr>
      <w:r>
        <w:rPr>
          <w:rFonts w:eastAsia="方正黑体_GBK" w:hint="eastAsia"/>
          <w:sz w:val="44"/>
          <w:szCs w:val="44"/>
        </w:rPr>
        <w:t>一、</w:t>
      </w:r>
      <w:r>
        <w:rPr>
          <w:rFonts w:eastAsia="方正黑体_GBK" w:cs="仿宋" w:hint="eastAsia"/>
          <w:sz w:val="44"/>
          <w:szCs w:val="44"/>
        </w:rPr>
        <w:t>涪陵海关</w:t>
      </w:r>
      <w:r>
        <w:rPr>
          <w:rFonts w:eastAsia="方正黑体_GBK" w:hint="eastAsia"/>
          <w:sz w:val="44"/>
          <w:szCs w:val="44"/>
        </w:rPr>
        <w:t>概况</w:t>
      </w:r>
    </w:p>
    <w:p>
      <w:pPr>
        <w:autoSpaceDN w:val="0"/>
        <w:spacing w:line="560" w:lineRule="exact"/>
        <w:ind w:firstLineChars="100" w:firstLine="360"/>
        <w:rPr>
          <w:rFonts w:eastAsia="方正仿宋_GBK"/>
          <w:sz w:val="36"/>
          <w:szCs w:val="36"/>
        </w:rPr>
      </w:pPr>
      <w:r>
        <w:rPr>
          <w:rFonts w:eastAsia="方正仿宋_GBK" w:hint="eastAsia"/>
          <w:sz w:val="36"/>
          <w:szCs w:val="36"/>
        </w:rPr>
        <w:t>（一）部门职责</w:t>
      </w:r>
    </w:p>
    <w:p>
      <w:pPr>
        <w:autoSpaceDN w:val="0"/>
        <w:spacing w:line="560" w:lineRule="exact"/>
        <w:ind w:firstLineChars="100" w:firstLine="360"/>
        <w:rPr>
          <w:rFonts w:eastAsia="方正仿宋_GBK"/>
          <w:sz w:val="36"/>
          <w:szCs w:val="36"/>
        </w:rPr>
      </w:pPr>
      <w:r>
        <w:rPr>
          <w:rFonts w:eastAsia="方正仿宋_GBK" w:hint="eastAsia"/>
          <w:sz w:val="36"/>
          <w:szCs w:val="36"/>
        </w:rPr>
        <w:t>（二）机构设置</w:t>
      </w:r>
    </w:p>
    <w:p>
      <w:pPr>
        <w:autoSpaceDN w:val="0"/>
        <w:spacing w:line="560" w:lineRule="exact"/>
        <w:rPr>
          <w:rFonts w:eastAsia="方正黑体_GBK"/>
          <w:sz w:val="44"/>
          <w:szCs w:val="44"/>
        </w:rPr>
      </w:pPr>
      <w:r>
        <w:rPr>
          <w:rFonts w:eastAsia="方正黑体_GBK" w:hint="eastAsia"/>
          <w:sz w:val="44"/>
          <w:szCs w:val="44"/>
        </w:rPr>
        <w:t>二、</w:t>
      </w:r>
      <w:r>
        <w:rPr>
          <w:rFonts w:eastAsia="方正黑体_GBK"/>
          <w:sz w:val="44"/>
          <w:szCs w:val="44"/>
        </w:rPr>
        <w:t>20</w:t>
      </w:r>
      <w:r>
        <w:rPr>
          <w:rFonts w:eastAsia="方正黑体_GBK" w:hint="eastAsia"/>
          <w:sz w:val="44"/>
          <w:szCs w:val="44"/>
        </w:rPr>
        <w:t>22年度部门决算表</w:t>
      </w:r>
    </w:p>
    <w:p>
      <w:pPr>
        <w:autoSpaceDN w:val="0"/>
        <w:spacing w:line="560" w:lineRule="exact"/>
        <w:ind w:firstLineChars="100" w:firstLine="360"/>
        <w:rPr>
          <w:rFonts w:eastAsia="方正仿宋_GBK"/>
          <w:sz w:val="36"/>
          <w:szCs w:val="36"/>
        </w:rPr>
      </w:pPr>
      <w:r>
        <w:rPr>
          <w:rFonts w:eastAsia="方正仿宋_GBK" w:hint="eastAsia"/>
          <w:sz w:val="36"/>
          <w:szCs w:val="36"/>
        </w:rPr>
        <w:t>（一）收入支出决算总表</w:t>
      </w:r>
    </w:p>
    <w:p>
      <w:pPr>
        <w:autoSpaceDN w:val="0"/>
        <w:spacing w:line="560" w:lineRule="exact"/>
        <w:ind w:firstLineChars="100" w:firstLine="360"/>
        <w:rPr>
          <w:rFonts w:eastAsia="方正仿宋_GBK"/>
          <w:sz w:val="36"/>
          <w:szCs w:val="36"/>
        </w:rPr>
      </w:pPr>
      <w:r>
        <w:rPr>
          <w:rFonts w:eastAsia="方正仿宋_GBK" w:hint="eastAsia"/>
          <w:sz w:val="36"/>
          <w:szCs w:val="36"/>
        </w:rPr>
        <w:t>（二）收入决算表</w:t>
      </w:r>
    </w:p>
    <w:p>
      <w:pPr>
        <w:autoSpaceDN w:val="0"/>
        <w:spacing w:line="560" w:lineRule="exact"/>
        <w:ind w:firstLineChars="100" w:firstLine="360"/>
        <w:rPr>
          <w:rFonts w:eastAsia="方正仿宋_GBK"/>
          <w:sz w:val="36"/>
          <w:szCs w:val="36"/>
        </w:rPr>
      </w:pPr>
      <w:r>
        <w:rPr>
          <w:rFonts w:eastAsia="方正仿宋_GBK" w:hint="eastAsia"/>
          <w:sz w:val="36"/>
          <w:szCs w:val="36"/>
        </w:rPr>
        <w:t>（三）支出决算表</w:t>
      </w:r>
    </w:p>
    <w:p>
      <w:pPr>
        <w:autoSpaceDN w:val="0"/>
        <w:spacing w:line="560" w:lineRule="exact"/>
        <w:ind w:firstLineChars="100" w:firstLine="360"/>
        <w:rPr>
          <w:rFonts w:eastAsia="方正仿宋_GBK"/>
          <w:sz w:val="36"/>
          <w:szCs w:val="36"/>
        </w:rPr>
      </w:pPr>
      <w:r>
        <w:rPr>
          <w:rFonts w:eastAsia="方正仿宋_GBK" w:hint="eastAsia"/>
          <w:sz w:val="36"/>
          <w:szCs w:val="36"/>
        </w:rPr>
        <w:t>（四）财政拨款收入支出决算总表</w:t>
      </w:r>
    </w:p>
    <w:p>
      <w:pPr>
        <w:autoSpaceDN w:val="0"/>
        <w:spacing w:line="560" w:lineRule="exact"/>
        <w:ind w:firstLineChars="100" w:firstLine="360"/>
        <w:rPr>
          <w:rFonts w:eastAsia="方正仿宋_GBK"/>
          <w:sz w:val="36"/>
          <w:szCs w:val="36"/>
        </w:rPr>
      </w:pPr>
      <w:r>
        <w:rPr>
          <w:rFonts w:eastAsia="方正仿宋_GBK" w:hint="eastAsia"/>
          <w:sz w:val="36"/>
          <w:szCs w:val="36"/>
        </w:rPr>
        <w:t>（五）一般公共预算财政拨款支出决算表</w:t>
      </w:r>
    </w:p>
    <w:p>
      <w:pPr>
        <w:autoSpaceDN w:val="0"/>
        <w:spacing w:line="560" w:lineRule="exact"/>
        <w:ind w:firstLineChars="100" w:firstLine="360"/>
        <w:rPr>
          <w:rFonts w:eastAsia="方正仿宋_GBK"/>
          <w:sz w:val="36"/>
          <w:szCs w:val="36"/>
        </w:rPr>
      </w:pPr>
      <w:r>
        <w:rPr>
          <w:rFonts w:eastAsia="方正仿宋_GBK" w:hint="eastAsia"/>
          <w:sz w:val="36"/>
          <w:szCs w:val="36"/>
        </w:rPr>
        <w:t>（六）一般公共预算财政拨款基本支出决算表</w:t>
      </w:r>
    </w:p>
    <w:p>
      <w:pPr>
        <w:autoSpaceDN w:val="0"/>
        <w:spacing w:line="560" w:lineRule="exact"/>
        <w:ind w:firstLineChars="100" w:firstLine="360"/>
        <w:rPr>
          <w:rFonts w:eastAsia="方正仿宋_GBK"/>
          <w:sz w:val="36"/>
          <w:szCs w:val="36"/>
        </w:rPr>
      </w:pPr>
      <w:r>
        <w:rPr>
          <w:rFonts w:eastAsia="方正仿宋_GBK" w:hint="eastAsia"/>
          <w:sz w:val="36"/>
          <w:szCs w:val="36"/>
        </w:rPr>
        <w:t>（七）一般公共预算财政拨款“三公”经费支出决算表</w:t>
      </w:r>
    </w:p>
    <w:p>
      <w:pPr>
        <w:autoSpaceDN w:val="0"/>
        <w:spacing w:line="560" w:lineRule="exact"/>
        <w:ind w:firstLineChars="100" w:firstLine="360"/>
        <w:rPr>
          <w:rFonts w:eastAsia="方正仿宋_GBK"/>
          <w:sz w:val="36"/>
          <w:szCs w:val="36"/>
        </w:rPr>
      </w:pPr>
      <w:r>
        <w:rPr>
          <w:rFonts w:eastAsia="方正仿宋_GBK" w:hint="eastAsia"/>
          <w:sz w:val="36"/>
          <w:szCs w:val="36"/>
        </w:rPr>
        <w:t>（八）政府性基金预算财政拨款收入支出决算表</w:t>
      </w:r>
    </w:p>
    <w:p>
      <w:pPr>
        <w:autoSpaceDN w:val="0"/>
        <w:spacing w:line="560" w:lineRule="exact"/>
        <w:ind w:firstLineChars="100" w:firstLine="360"/>
        <w:rPr>
          <w:rFonts w:eastAsia="方正黑体_GBK"/>
          <w:sz w:val="44"/>
          <w:szCs w:val="44"/>
        </w:rPr>
      </w:pPr>
      <w:r>
        <w:rPr>
          <w:rFonts w:eastAsia="方正仿宋_GBK" w:hint="eastAsia"/>
          <w:sz w:val="36"/>
          <w:szCs w:val="36"/>
        </w:rPr>
        <w:t>（九）国有资本经营预算财政拨款支出决算表</w:t>
      </w:r>
    </w:p>
    <w:p>
      <w:pPr>
        <w:autoSpaceDN w:val="0"/>
        <w:spacing w:line="560" w:lineRule="exact"/>
        <w:rPr>
          <w:rFonts w:eastAsia="方正黑体_GBK"/>
          <w:sz w:val="44"/>
          <w:szCs w:val="44"/>
        </w:rPr>
      </w:pPr>
      <w:r>
        <w:rPr>
          <w:rFonts w:eastAsia="方正黑体_GBK" w:hint="eastAsia"/>
          <w:sz w:val="44"/>
          <w:szCs w:val="44"/>
        </w:rPr>
        <w:t>三、</w:t>
      </w:r>
      <w:r>
        <w:rPr>
          <w:rFonts w:eastAsia="方正黑体_GBK"/>
          <w:sz w:val="44"/>
          <w:szCs w:val="44"/>
        </w:rPr>
        <w:t>20</w:t>
      </w:r>
      <w:r>
        <w:rPr>
          <w:rFonts w:eastAsia="方正黑体_GBK" w:hint="eastAsia"/>
          <w:sz w:val="44"/>
          <w:szCs w:val="44"/>
        </w:rPr>
        <w:t>22年度部门决算情况说明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（一）收入支出决算总体情况说明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（二）收入决算情况说明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（三）支出决算情况说明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（四）财政拨款收入支出总体情况说明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（五）一般公共预算财政拨款支出决算情况说明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（六）一般公共预算财政拨款基本支出决算情况说明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（七）一般公共预算财政拨款“三公”经费支出决算情况说明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（八）机关运行经费支出说明</w:t>
      </w:r>
    </w:p>
    <w:p>
      <w:pPr>
        <w:autoSpaceDN w:val="0"/>
        <w:spacing w:line="560" w:lineRule="exact"/>
        <w:ind w:firstLineChars="100" w:firstLine="360"/>
        <w:rPr>
          <w:rFonts w:eastAsia="方正仿宋_GBK"/>
          <w:sz w:val="36"/>
          <w:szCs w:val="36"/>
        </w:rPr>
      </w:pPr>
      <w:r>
        <w:rPr>
          <w:rFonts w:eastAsia="方正仿宋_GBK" w:hint="eastAsia"/>
          <w:sz w:val="36"/>
          <w:szCs w:val="36"/>
        </w:rPr>
        <w:t>（九）政府采购支出说明</w:t>
      </w:r>
    </w:p>
    <w:p>
      <w:pPr>
        <w:autoSpaceDN w:val="0"/>
        <w:spacing w:line="560" w:lineRule="exact"/>
        <w:ind w:firstLineChars="100" w:firstLine="360"/>
        <w:rPr>
          <w:rFonts w:eastAsia="方正仿宋_GBK"/>
          <w:sz w:val="36"/>
          <w:szCs w:val="36"/>
        </w:rPr>
      </w:pPr>
      <w:r>
        <w:rPr>
          <w:rFonts w:eastAsia="方正仿宋_GBK" w:hint="eastAsia"/>
          <w:sz w:val="36"/>
          <w:szCs w:val="36"/>
        </w:rPr>
        <w:t>（十）国有资产占用情况说明</w:t>
      </w:r>
    </w:p>
    <w:p>
      <w:pPr>
        <w:autoSpaceDN w:val="0"/>
        <w:spacing w:line="560" w:lineRule="exact"/>
        <w:ind w:firstLineChars="100" w:firstLine="360"/>
        <w:rPr>
          <w:rFonts w:eastAsia="方正仿宋_GBK"/>
          <w:sz w:val="36"/>
          <w:szCs w:val="36"/>
        </w:rPr>
      </w:pPr>
      <w:r>
        <w:rPr>
          <w:rFonts w:eastAsia="方正仿宋_GBK" w:hint="eastAsia"/>
          <w:sz w:val="36"/>
          <w:szCs w:val="36"/>
        </w:rPr>
        <w:t>（十一）预算绩效情况说明</w:t>
      </w:r>
    </w:p>
    <w:p>
      <w:pPr>
        <w:autoSpaceDN w:val="0"/>
        <w:spacing w:line="560" w:lineRule="exact"/>
        <w:ind w:leftChars="100" w:left="1934" w:hangingChars="392" w:hanging="1724"/>
        <w:rPr>
          <w:rFonts w:ascii="方正黑体_GBK" w:eastAsia="方正黑体_GBK"/>
          <w:sz w:val="44"/>
          <w:szCs w:val="44"/>
        </w:rPr>
      </w:pPr>
      <w:r>
        <w:rPr>
          <w:rFonts w:ascii="方正黑体_GBK" w:eastAsia="方正黑体_GBK" w:hint="eastAsia"/>
          <w:sz w:val="44"/>
          <w:szCs w:val="44"/>
        </w:rPr>
        <w:t>四、名词解释</w:t>
      </w:r>
    </w:p>
    <w:p>
      <w:pPr>
        <w:autoSpaceDN w:val="0"/>
        <w:spacing w:line="560" w:lineRule="exact"/>
        <w:ind w:leftChars="100" w:left="1934" w:hangingChars="392" w:hanging="1724"/>
        <w:rPr>
          <w:rFonts w:ascii="方正黑体_GBK" w:eastAsia="方正黑体_GBK"/>
          <w:sz w:val="44"/>
          <w:szCs w:val="44"/>
        </w:rPr>
      </w:pPr>
      <w:r>
        <w:rPr>
          <w:rFonts w:ascii="方正黑体_GBK" w:eastAsia="方正黑体_GBK" w:hint="eastAsia"/>
          <w:sz w:val="44"/>
          <w:szCs w:val="44"/>
        </w:rPr>
        <w:t>五、附件</w:t>
      </w:r>
    </w:p>
    <w:p>
      <w:pPr>
        <w:autoSpaceDN w:val="0"/>
        <w:spacing w:line="560" w:lineRule="exact"/>
        <w:ind w:firstLineChars="200" w:firstLine="420"/>
        <w:rPr>
          <w:rFonts w:ascii="方正黑体_GBK" w:eastAsia="方正黑体_GBK"/>
          <w:sz w:val="32"/>
          <w:szCs w:val="32"/>
        </w:rPr>
      </w:pPr>
      <w:r>
        <w:br w:type="page"/>
      </w:r>
      <w:r>
        <w:rPr>
          <w:rFonts w:ascii="方正黑体_GBK" w:eastAsia="方正黑体_GBK" w:hint="eastAsia"/>
          <w:sz w:val="32"/>
          <w:szCs w:val="32"/>
        </w:rPr>
        <w:t>一、涪陵海关概况</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（一）部门职责。</w:t>
      </w:r>
    </w:p>
    <w:p>
      <w:pPr>
        <w:snapToGri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涪陵海关（属地型海关）负责涪陵区、南川区、长寿区、垫江县、丰都县等属地业务，承担涪陵综合保税区管理。具体职责为：1.监控研判本关各类执法风险、管理风险和廉政风险并组织防范和化解，负责党的基层组织建设、干部队伍建设、财务管理等日常管理工作。2.承担辖区进出境运输工具、货物、物品、动植物及其产品、食品、化妆品的单证审核、税收征管、保税监管等海关现场综合业务工作。3.承担辖区的进口目的地检验、出口产地/组货地检验检疫工作。4.承担辖区企业管理工作。5.承担辖区企业稽查、核查、贸易调查、市场调查等后续监管工作。6.承担辖区海关特殊监管区域的实际监管。7.承担辖区海关监管作业场所（场地）、专业类场所（场地）的实际监管。8.承担辖区行政处罚简易程序案件、简单案件。9.承办重庆海关交办的其他工作，反馈执法作业结果。</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（二）机构设置。</w:t>
      </w:r>
    </w:p>
    <w:p>
      <w:pPr>
        <w:autoSpaceDN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涪陵海关现有6个内设科室，包括：办公室（党委组织宣传部）、综合业务科、查检科、监控科、企业管理科、稽核科。</w:t>
      </w:r>
    </w:p>
    <w:p>
      <w:pPr>
        <w:pStyle w:val="60"/>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纳入</w:t>
      </w:r>
      <w:r>
        <w:rPr>
          <w:rFonts w:ascii="Times New Roman" w:eastAsia="方正仿宋_GBK" w:hAnsi="Times New Roman"/>
          <w:vanish w:val="0"/>
          <w:sz w:val="32"/>
          <w:szCs w:val="32"/>
        </w:rPr>
        <w:t>涪陵</w:t>
      </w:r>
      <w:r>
        <w:rPr>
          <w:rFonts w:ascii="Times New Roman" w:eastAsia="方正仿宋_GBK" w:hAnsi="Times New Roman" w:hint="eastAsia"/>
          <w:vanish w:val="0"/>
          <w:sz w:val="32"/>
          <w:szCs w:val="32"/>
        </w:rPr>
        <w:t>海关</w:t>
      </w:r>
      <w:r>
        <w:rPr>
          <w:rFonts w:eastAsia="方正仿宋_GBK"/>
          <w:vanish w:val="0"/>
          <w:sz w:val="32"/>
          <w:szCs w:val="32"/>
        </w:rPr>
        <w:t>2022</w:t>
      </w:r>
      <w:r>
        <w:rPr>
          <w:rFonts w:ascii="Times New Roman" w:eastAsia="方正仿宋_GBK" w:hAnsi="Times New Roman" w:hint="eastAsia"/>
          <w:vanish w:val="0"/>
          <w:sz w:val="32"/>
          <w:szCs w:val="32"/>
        </w:rPr>
        <w:t>年部门决算编制范围的单位（含独立编报部门决算的单户）详细情况见下表：</w:t>
      </w:r>
    </w:p>
    <w:tbl>
      <w:tblPr>
        <w:tblpPr w:leftFromText="180" w:rightFromText="180" w:vertAnchor="text" w:horzAnchor="margin" w:tblpXSpec="center" w:tblpY="430"/>
        <w:tblOverlap w:val="never"/>
        <w:tblW w:w="8295"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613"/>
        <w:gridCol w:w="6682"/>
      </w:tblGrid>
      <w:tr>
        <w:trPr>
          <w:trHeight w:val="423"/>
        </w:trPr>
        <w:tc>
          <w:tcPr>
            <w:tcW w:w="1613" w:type="dxa"/>
            <w:tcBorders>
              <w:top w:val="single" w:sz="6" w:space="0" w:color="auto"/>
              <w:left w:val="single" w:sz="6" w:space="0" w:color="auto"/>
              <w:bottom w:val="single" w:sz="6" w:space="0" w:color="auto"/>
              <w:right w:val="single" w:sz="6" w:space="0" w:color="auto"/>
              <w:tl2br w:val="nil"/>
              <w:tr2bl w:val="nil"/>
            </w:tcBorders>
            <w:tcMar>
              <w:top w:w="15" w:type="dxa"/>
              <w:left w:w="108" w:type="dxa"/>
              <w:bottom w:w="15" w:type="dxa"/>
              <w:right w:w="108" w:type="dxa"/>
            </w:tcMar>
            <w:vAlign w:val="center"/>
          </w:tcPr>
          <w:p>
            <w:pPr>
              <w:pStyle w:val="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jc w:val="center"/>
              <w:rPr>
                <w:rFonts w:ascii="方正仿宋_GBK" w:eastAsia="方正仿宋_GBK" w:cs="Arial" w:hint="eastAsia"/>
                <w:b/>
                <w:bCs/>
                <w:vanish w:val="0"/>
                <w:color w:val="000000"/>
                <w:kern w:val="0"/>
                <w:sz w:val="32"/>
                <w:szCs w:val="32"/>
              </w:rPr>
            </w:pPr>
            <w:r>
              <w:rPr>
                <w:rFonts w:ascii="方正仿宋_GBK" w:eastAsia="方正仿宋_GBK" w:cs="Arial" w:hint="eastAsia"/>
                <w:b/>
                <w:bCs/>
                <w:vanish w:val="0"/>
                <w:color w:val="000000"/>
                <w:kern w:val="0"/>
                <w:sz w:val="32"/>
                <w:szCs w:val="32"/>
              </w:rPr>
              <w:t>序 号</w:t>
            </w:r>
          </w:p>
        </w:tc>
        <w:tc>
          <w:tcPr>
            <w:tcW w:w="6682" w:type="dxa"/>
            <w:tcBorders>
              <w:top w:val="single" w:sz="6" w:space="0" w:color="auto"/>
              <w:left w:val="single" w:sz="6" w:space="0" w:color="auto"/>
              <w:bottom w:val="single" w:sz="6" w:space="0" w:color="auto"/>
              <w:right w:val="single" w:sz="6" w:space="0" w:color="auto"/>
              <w:tl2br w:val="nil"/>
              <w:tr2bl w:val="nil"/>
            </w:tcBorders>
            <w:tcMar>
              <w:top w:w="15" w:type="dxa"/>
              <w:left w:w="108" w:type="dxa"/>
              <w:bottom w:w="15" w:type="dxa"/>
              <w:right w:w="108" w:type="dxa"/>
            </w:tcMar>
            <w:vAlign w:val="center"/>
          </w:tcPr>
          <w:p>
            <w:pPr>
              <w:pStyle w:val="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jc w:val="center"/>
              <w:rPr>
                <w:rFonts w:ascii="方正仿宋_GBK" w:eastAsia="方正仿宋_GBK" w:cs="Arial" w:hint="eastAsia"/>
                <w:b/>
                <w:bCs/>
                <w:vanish w:val="0"/>
                <w:color w:val="000000"/>
                <w:kern w:val="0"/>
                <w:sz w:val="32"/>
                <w:szCs w:val="32"/>
              </w:rPr>
            </w:pPr>
            <w:r>
              <w:rPr>
                <w:rFonts w:ascii="方正仿宋_GBK" w:eastAsia="方正仿宋_GBK" w:cs="Arial" w:hint="eastAsia"/>
                <w:b/>
                <w:bCs/>
                <w:vanish w:val="0"/>
                <w:color w:val="000000"/>
                <w:kern w:val="0"/>
                <w:sz w:val="32"/>
                <w:szCs w:val="32"/>
              </w:rPr>
              <w:t>单位名称</w:t>
            </w:r>
          </w:p>
        </w:tc>
      </w:tr>
      <w:tr>
        <w:trPr>
          <w:trHeight w:val="519"/>
        </w:trPr>
        <w:tc>
          <w:tcPr>
            <w:tcW w:w="1613" w:type="dxa"/>
            <w:tcBorders>
              <w:top w:val="single" w:sz="6" w:space="0" w:color="auto"/>
              <w:left w:val="single" w:sz="6" w:space="0" w:color="auto"/>
              <w:bottom w:val="single" w:sz="6" w:space="0" w:color="auto"/>
              <w:right w:val="single" w:sz="6" w:space="0" w:color="auto"/>
              <w:tl2br w:val="nil"/>
              <w:tr2bl w:val="nil"/>
            </w:tcBorders>
            <w:noWrap/>
            <w:tcMar>
              <w:top w:w="15" w:type="dxa"/>
              <w:left w:w="108" w:type="dxa"/>
              <w:bottom w:w="15" w:type="dxa"/>
              <w:right w:w="108" w:type="dxa"/>
            </w:tcMar>
            <w:vAlign w:val="center"/>
          </w:tcPr>
          <w:p>
            <w:pPr>
              <w:pStyle w:val="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jc w:val="center"/>
              <w:rPr>
                <w:rFonts w:ascii="方正仿宋_GBK" w:eastAsia="方正仿宋_GBK" w:cs="Arial" w:hint="eastAsia"/>
                <w:vanish w:val="0"/>
                <w:color w:val="000000"/>
                <w:kern w:val="0"/>
                <w:sz w:val="32"/>
                <w:szCs w:val="32"/>
              </w:rPr>
            </w:pPr>
            <w:r>
              <w:rPr>
                <w:rFonts w:ascii="方正仿宋_GBK" w:eastAsia="方正仿宋_GBK" w:cs="Arial" w:hint="eastAsia"/>
                <w:vanish w:val="0"/>
                <w:color w:val="000000"/>
                <w:kern w:val="0"/>
                <w:sz w:val="32"/>
                <w:szCs w:val="32"/>
              </w:rPr>
              <w:t>1</w:t>
            </w:r>
          </w:p>
        </w:tc>
        <w:tc>
          <w:tcPr>
            <w:tcW w:w="6682" w:type="dxa"/>
            <w:tcBorders>
              <w:top w:val="single" w:sz="6" w:space="0" w:color="auto"/>
              <w:left w:val="single" w:sz="6" w:space="0" w:color="auto"/>
              <w:bottom w:val="single" w:sz="6" w:space="0" w:color="auto"/>
              <w:right w:val="single" w:sz="6" w:space="0" w:color="auto"/>
              <w:tl2br w:val="nil"/>
              <w:tr2bl w:val="nil"/>
            </w:tcBorders>
            <w:noWrap/>
            <w:tcMar>
              <w:top w:w="15" w:type="dxa"/>
              <w:left w:w="108" w:type="dxa"/>
              <w:bottom w:w="15" w:type="dxa"/>
              <w:right w:w="108" w:type="dxa"/>
            </w:tcMar>
            <w:vAlign w:val="center"/>
          </w:tcPr>
          <w:p>
            <w:pPr>
              <w:pStyle w:val="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jc w:val="center"/>
              <w:rPr>
                <w:rFonts w:ascii="方正仿宋_GBK" w:eastAsia="方正仿宋_GBK" w:cs="Arial" w:hint="eastAsia"/>
                <w:vanish w:val="0"/>
                <w:color w:val="000000"/>
                <w:kern w:val="0"/>
                <w:sz w:val="32"/>
                <w:szCs w:val="32"/>
              </w:rPr>
            </w:pPr>
            <w:r>
              <w:rPr>
                <w:rFonts w:ascii="方正仿宋_GBK" w:eastAsia="方正仿宋_GBK"/>
                <w:vanish w:val="0"/>
                <w:color w:val="000000"/>
                <w:sz w:val="32"/>
                <w:szCs w:val="32"/>
              </w:rPr>
              <w:t>涪陵</w:t>
            </w:r>
            <w:r>
              <w:rPr>
                <w:rFonts w:ascii="方正仿宋_GBK" w:eastAsia="方正仿宋_GBK" w:hint="eastAsia"/>
                <w:vanish w:val="0"/>
                <w:color w:val="000000"/>
                <w:sz w:val="32"/>
                <w:szCs w:val="32"/>
              </w:rPr>
              <w:t>海关</w:t>
            </w:r>
          </w:p>
        </w:tc>
      </w:tr>
    </w:tbl>
    <w:p>
      <w:pPr>
        <w:autoSpaceDN w:val="0"/>
        <w:spacing w:line="560" w:lineRule="exact"/>
        <w:ind w:firstLineChars="200" w:firstLine="640"/>
        <w:rPr>
          <w:rFonts w:ascii="方正仿宋_GBK" w:eastAsia="方正仿宋_GBK"/>
          <w:sz w:val="32"/>
          <w:szCs w:val="32"/>
        </w:rPr>
      </w:pPr>
    </w:p>
    <w:p>
      <w:pPr>
        <w:widowControl/>
        <w:autoSpaceDN w:val="0"/>
        <w:spacing w:line="560" w:lineRule="exact"/>
        <w:jc w:val="left"/>
        <w:rPr>
          <w:rFonts w:ascii="方正黑体_GBK" w:eastAsia="方正黑体_GBK" w:cs="Arial"/>
          <w:color w:val="000000"/>
          <w:kern w:val="0"/>
          <w:sz w:val="32"/>
          <w:szCs w:val="32"/>
        </w:rPr>
        <w:sectPr>
          <w:pgSz w:w="11907" w:h="16840"/>
          <w:pgMar w:top="1440" w:right="1134" w:bottom="1440" w:left="1134" w:header="851" w:footer="992" w:gutter="0"/>
          <w:pgNumType/>
          <w:docGrid w:linePitch="312" w:charSpace="0"/>
        </w:sectPr>
      </w:pPr>
    </w:p>
    <w:p>
      <w:pPr>
        <w:widowControl/>
        <w:autoSpaceDN w:val="0"/>
        <w:spacing w:line="560" w:lineRule="exact"/>
        <w:jc w:val="left"/>
        <w:rPr>
          <w:rFonts w:ascii="方正黑体_GBK" w:eastAsia="方正黑体_GBK" w:cs="Arial"/>
          <w:color w:val="000000"/>
          <w:kern w:val="0"/>
          <w:sz w:val="32"/>
          <w:szCs w:val="32"/>
        </w:rPr>
      </w:pPr>
      <w:r>
        <w:rPr>
          <w:rFonts w:ascii="方正黑体_GBK" w:eastAsia="方正黑体_GBK" w:cs="Arial" w:hint="eastAsia"/>
          <w:color w:val="000000"/>
          <w:kern w:val="0"/>
          <w:sz w:val="32"/>
          <w:szCs w:val="32"/>
        </w:rPr>
        <w:t>二、涪陵海关2022年度部门决算表</w:t>
      </w:r>
    </w:p>
    <w:p>
      <w:pPr>
        <w:spacing w:line="560" w:lineRule="exact"/>
        <w:rPr>
          <w:rFonts w:ascii="方正仿宋_GBK" w:eastAsia="方正仿宋_GBK"/>
          <w:sz w:val="32"/>
          <w:szCs w:val="32"/>
        </w:rPr>
      </w:pPr>
    </w:p>
    <w:tbl>
      <w:tblPr>
        <w:jc w:val="left"/>
        <w:tblInd w:w="93" w:type="dxa"/>
        <w:tblW w:w="14082"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4633"/>
        <w:gridCol w:w="704"/>
        <w:gridCol w:w="2014"/>
        <w:gridCol w:w="3652"/>
        <w:gridCol w:w="704"/>
        <w:gridCol w:w="2376"/>
      </w:tblGrid>
      <w:tr>
        <w:trPr>
          <w:trHeight w:val="345"/>
        </w:trPr>
        <w:tc>
          <w:tcPr>
            <w:tcW w:w="14082" w:type="dxa"/>
            <w:gridSpan w:val="6"/>
            <w:tcBorders>
              <w:top w:val="nil"/>
              <w:left w:val="nil"/>
              <w:bottom w:val="nil"/>
              <w:right w:val="nil"/>
            </w:tcBorders>
            <w:shd w:val="clear" w:color="auto" w:fill="auto"/>
            <w:noWrap/>
            <w:vAlign w:val="bottom"/>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收入支出决算总表</w:t>
            </w:r>
          </w:p>
        </w:tc>
      </w:tr>
      <w:tr>
        <w:trPr>
          <w:trHeight w:val="255"/>
        </w:trPr>
        <w:tc>
          <w:tcPr>
            <w:tcW w:w="4633"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704"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2014"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3652"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704"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2376" w:type="dxa"/>
            <w:tcBorders>
              <w:top w:val="nil"/>
              <w:left w:val="nil"/>
              <w:bottom w:val="nil"/>
              <w:right w:val="nil"/>
            </w:tcBorders>
            <w:shd w:val="clear" w:color="auto" w:fill="auto"/>
            <w:noWrap/>
            <w:vAlign w:val="bottom"/>
          </w:tcPr>
          <w:p>
            <w:pPr>
              <w:widowControl/>
              <w:spacing w:line="560" w:lineRule="exact"/>
              <w:jc w:val="right"/>
              <w:rPr>
                <w:rFonts w:ascii="宋体" w:cs="Arial"/>
                <w:color w:val="000000"/>
                <w:kern w:val="0"/>
                <w:sz w:val="20"/>
                <w:szCs w:val="20"/>
              </w:rPr>
            </w:pPr>
            <w:r>
              <w:rPr>
                <w:rFonts w:ascii="方正仿宋_GBK" w:eastAsia="方正仿宋_GBK" w:cs="Arial" w:hint="eastAsia"/>
                <w:color w:val="000000"/>
                <w:kern w:val="0"/>
                <w:sz w:val="32"/>
                <w:szCs w:val="32"/>
              </w:rPr>
              <w:t>公开01表</w:t>
            </w:r>
          </w:p>
        </w:tc>
      </w:tr>
      <w:tr>
        <w:trPr>
          <w:trHeight w:val="255"/>
        </w:trPr>
        <w:tc>
          <w:tcPr>
            <w:tcW w:w="4633"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单位：</w:t>
            </w:r>
            <w:r>
              <w:rPr>
                <w:rFonts w:ascii="方正仿宋_GBK" w:eastAsia="方正仿宋_GBK" w:cs="Arial"/>
                <w:color w:val="000000"/>
                <w:kern w:val="0"/>
                <w:sz w:val="32"/>
                <w:szCs w:val="32"/>
              </w:rPr>
              <w:t>涪陵海关</w:t>
            </w:r>
          </w:p>
        </w:tc>
        <w:tc>
          <w:tcPr>
            <w:tcW w:w="704"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32"/>
                <w:szCs w:val="32"/>
              </w:rPr>
            </w:pPr>
          </w:p>
        </w:tc>
        <w:tc>
          <w:tcPr>
            <w:tcW w:w="2014"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32"/>
                <w:szCs w:val="32"/>
              </w:rPr>
            </w:pPr>
          </w:p>
        </w:tc>
        <w:tc>
          <w:tcPr>
            <w:tcW w:w="3652"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32"/>
                <w:szCs w:val="32"/>
              </w:rPr>
            </w:pPr>
          </w:p>
        </w:tc>
        <w:tc>
          <w:tcPr>
            <w:tcW w:w="704"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32"/>
                <w:szCs w:val="32"/>
              </w:rPr>
            </w:pPr>
          </w:p>
        </w:tc>
        <w:tc>
          <w:tcPr>
            <w:tcW w:w="2376" w:type="dxa"/>
            <w:tcBorders>
              <w:top w:val="nil"/>
              <w:left w:val="nil"/>
              <w:bottom w:val="nil"/>
              <w:right w:val="nil"/>
            </w:tcBorders>
            <w:shd w:val="clear" w:color="auto" w:fill="auto"/>
            <w:noWrap/>
            <w:vAlign w:val="bottom"/>
          </w:tcPr>
          <w:p>
            <w:pPr>
              <w:widowControl/>
              <w:spacing w:line="560" w:lineRule="exact"/>
              <w:jc w:val="right"/>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金额单位：万元</w:t>
            </w:r>
          </w:p>
        </w:tc>
      </w:tr>
      <w:tr>
        <w:trPr>
          <w:trHeight w:val="315"/>
        </w:trPr>
        <w:tc>
          <w:tcPr>
            <w:tcW w:w="7350" w:type="dxa"/>
            <w:gridSpan w:val="3"/>
            <w:tcBorders>
              <w:top w:val="single" w:sz="6" w:space="0" w:color="000000"/>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收入</w:t>
            </w:r>
          </w:p>
        </w:tc>
        <w:tc>
          <w:tcPr>
            <w:tcW w:w="6731" w:type="dxa"/>
            <w:gridSpan w:val="3"/>
            <w:tcBorders>
              <w:top w:val="single" w:sz="6" w:space="0" w:color="000000"/>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支出</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项目</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行次</w:t>
            </w:r>
          </w:p>
        </w:tc>
        <w:tc>
          <w:tcPr>
            <w:tcW w:w="20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金额</w:t>
            </w:r>
          </w:p>
        </w:tc>
        <w:tc>
          <w:tcPr>
            <w:tcW w:w="365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项目</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行次</w:t>
            </w:r>
          </w:p>
        </w:tc>
        <w:tc>
          <w:tcPr>
            <w:tcW w:w="237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金额</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栏次</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　</w:t>
            </w:r>
          </w:p>
        </w:tc>
        <w:tc>
          <w:tcPr>
            <w:tcW w:w="20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1</w:t>
            </w:r>
          </w:p>
        </w:tc>
        <w:tc>
          <w:tcPr>
            <w:tcW w:w="365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栏次</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　</w:t>
            </w:r>
          </w:p>
        </w:tc>
        <w:tc>
          <w:tcPr>
            <w:tcW w:w="237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2</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left"/>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一、一般公共预算财政拨款收入</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1</w:t>
            </w:r>
          </w:p>
        </w:tc>
        <w:tc>
          <w:tcPr>
            <w:tcW w:w="20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441.60</w:t>
            </w:r>
          </w:p>
        </w:tc>
        <w:tc>
          <w:tcPr>
            <w:tcW w:w="365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left"/>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一、一般公共服务支出</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7</w:t>
            </w:r>
          </w:p>
        </w:tc>
        <w:tc>
          <w:tcPr>
            <w:tcW w:w="237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977.08</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left"/>
              <w:rPr>
                <w:rFonts w:ascii="方正仿宋_GBK" w:eastAsia="方正仿宋_GBK" w:cs="Arial"/>
                <w:color w:val="000000"/>
                <w:kern w:val="0"/>
                <w:sz w:val="32"/>
                <w:szCs w:val="32"/>
              </w:rPr>
            </w:pPr>
            <w:r>
              <w:rPr>
                <w:rFonts w:ascii="方正仿宋_GBK" w:eastAsia="方正仿宋_GBK" w:cs="Arial"/>
                <w:color w:val="000000"/>
                <w:kern w:val="0"/>
                <w:sz w:val="32"/>
                <w:szCs w:val="32"/>
              </w:rPr>
              <w:t>二</w:t>
            </w:r>
            <w:r>
              <w:rPr>
                <w:rFonts w:ascii="方正仿宋_GBK" w:eastAsia="方正仿宋_GBK" w:cs="Arial" w:hint="eastAsia"/>
                <w:color w:val="000000"/>
                <w:kern w:val="0"/>
                <w:sz w:val="32"/>
                <w:szCs w:val="32"/>
              </w:rPr>
              <w:t>、其他收入　</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2</w:t>
            </w:r>
          </w:p>
        </w:tc>
        <w:tc>
          <w:tcPr>
            <w:tcW w:w="20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1151.50</w:t>
            </w:r>
          </w:p>
        </w:tc>
        <w:tc>
          <w:tcPr>
            <w:tcW w:w="365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left"/>
              <w:rPr>
                <w:rFonts w:ascii="方正仿宋_GBK" w:eastAsia="方正仿宋_GBK" w:cs="Arial"/>
                <w:color w:val="000000"/>
                <w:kern w:val="0"/>
                <w:sz w:val="32"/>
                <w:szCs w:val="32"/>
              </w:rPr>
            </w:pP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8</w:t>
            </w:r>
          </w:p>
        </w:tc>
        <w:tc>
          <w:tcPr>
            <w:tcW w:w="237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32"/>
                <w:szCs w:val="32"/>
              </w:rPr>
            </w:pPr>
            <w:r>
              <w:rPr>
                <w:rFonts w:ascii="方正仿宋_GBK" w:eastAsia="方正仿宋_GBK" w:cs="Arial" w:hint="eastAsia"/>
                <w:b/>
                <w:bCs/>
                <w:color w:val="000000"/>
                <w:kern w:val="0"/>
                <w:sz w:val="32"/>
                <w:szCs w:val="32"/>
              </w:rPr>
              <w:t>本年收入合计</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3</w:t>
            </w:r>
          </w:p>
        </w:tc>
        <w:tc>
          <w:tcPr>
            <w:tcW w:w="20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1593.10</w:t>
            </w:r>
          </w:p>
        </w:tc>
        <w:tc>
          <w:tcPr>
            <w:tcW w:w="365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32"/>
                <w:szCs w:val="32"/>
              </w:rPr>
            </w:pPr>
            <w:r>
              <w:rPr>
                <w:rFonts w:ascii="方正仿宋_GBK" w:eastAsia="方正仿宋_GBK" w:cs="Arial" w:hint="eastAsia"/>
                <w:b/>
                <w:bCs/>
                <w:color w:val="000000"/>
                <w:kern w:val="0"/>
                <w:sz w:val="32"/>
                <w:szCs w:val="32"/>
              </w:rPr>
              <w:t>本年支出合计</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9</w:t>
            </w:r>
          </w:p>
        </w:tc>
        <w:tc>
          <w:tcPr>
            <w:tcW w:w="237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977.08</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使用非财政拨款结余</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4</w:t>
            </w:r>
          </w:p>
        </w:tc>
        <w:tc>
          <w:tcPr>
            <w:tcW w:w="20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0</w:t>
            </w:r>
          </w:p>
        </w:tc>
        <w:tc>
          <w:tcPr>
            <w:tcW w:w="365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结余分配</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10</w:t>
            </w:r>
          </w:p>
        </w:tc>
        <w:tc>
          <w:tcPr>
            <w:tcW w:w="237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0</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年初结转和结余</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5</w:t>
            </w:r>
          </w:p>
        </w:tc>
        <w:tc>
          <w:tcPr>
            <w:tcW w:w="20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497.57</w:t>
            </w:r>
          </w:p>
        </w:tc>
        <w:tc>
          <w:tcPr>
            <w:tcW w:w="365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年末结转和结余</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11</w:t>
            </w:r>
          </w:p>
        </w:tc>
        <w:tc>
          <w:tcPr>
            <w:tcW w:w="237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1113.59</w:t>
            </w:r>
          </w:p>
        </w:tc>
      </w:tr>
      <w:tr>
        <w:trPr>
          <w:trHeight w:val="315"/>
        </w:trPr>
        <w:tc>
          <w:tcPr>
            <w:tcW w:w="4633" w:type="dxa"/>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32"/>
                <w:szCs w:val="32"/>
              </w:rPr>
            </w:pPr>
            <w:r>
              <w:rPr>
                <w:rFonts w:ascii="方正仿宋_GBK" w:eastAsia="方正仿宋_GBK" w:cs="Arial" w:hint="eastAsia"/>
                <w:b/>
                <w:bCs/>
                <w:color w:val="000000"/>
                <w:kern w:val="0"/>
                <w:sz w:val="32"/>
                <w:szCs w:val="32"/>
              </w:rPr>
              <w:t>总计</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6</w:t>
            </w:r>
          </w:p>
        </w:tc>
        <w:tc>
          <w:tcPr>
            <w:tcW w:w="20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2090.67</w:t>
            </w:r>
          </w:p>
        </w:tc>
        <w:tc>
          <w:tcPr>
            <w:tcW w:w="365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32"/>
                <w:szCs w:val="32"/>
              </w:rPr>
            </w:pPr>
            <w:r>
              <w:rPr>
                <w:rFonts w:ascii="方正仿宋_GBK" w:eastAsia="方正仿宋_GBK" w:cs="Arial" w:hint="eastAsia"/>
                <w:b/>
                <w:bCs/>
                <w:color w:val="000000"/>
                <w:kern w:val="0"/>
                <w:sz w:val="32"/>
                <w:szCs w:val="32"/>
              </w:rPr>
              <w:t>总计</w:t>
            </w:r>
          </w:p>
        </w:tc>
        <w:tc>
          <w:tcPr>
            <w:tcW w:w="70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color w:val="000000"/>
                <w:kern w:val="0"/>
                <w:sz w:val="32"/>
                <w:szCs w:val="32"/>
              </w:rPr>
              <w:t>12</w:t>
            </w:r>
          </w:p>
        </w:tc>
        <w:tc>
          <w:tcPr>
            <w:tcW w:w="237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sz w:val="32"/>
                <w:szCs w:val="32"/>
              </w:rPr>
            </w:pPr>
            <w:r>
              <w:rPr>
                <w:rFonts w:ascii="方正仿宋_GBK" w:eastAsia="方正仿宋_GBK" w:cs="Arial" w:hint="eastAsia"/>
                <w:color w:val="000000"/>
                <w:sz w:val="32"/>
                <w:szCs w:val="32"/>
              </w:rPr>
              <w:t>2090.67</w:t>
            </w:r>
          </w:p>
        </w:tc>
      </w:tr>
      <w:tr>
        <w:trPr>
          <w:trHeight w:val="315"/>
        </w:trPr>
        <w:tc>
          <w:tcPr>
            <w:tcW w:w="14082" w:type="dxa"/>
            <w:gridSpan w:val="6"/>
            <w:tcBorders>
              <w:top w:val="single" w:sz="6" w:space="0" w:color="000000"/>
              <w:left w:val="nil"/>
              <w:bottom w:val="nil"/>
              <w:right w:val="nil"/>
            </w:tcBorders>
            <w:shd w:val="clear" w:color="auto" w:fill="auto"/>
            <w:noWrap/>
            <w:vAlign w:val="center"/>
          </w:tcPr>
          <w:p>
            <w:pPr>
              <w:widowControl/>
              <w:spacing w:line="560" w:lineRule="exact"/>
              <w:jc w:val="left"/>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注：本表反映部门本年度的总收支和年末结转结余情况。</w:t>
            </w:r>
          </w:p>
        </w:tc>
      </w:tr>
    </w:tbl>
    <w:p>
      <w:r>
        <w:rPr>
          <w:rFonts w:ascii="方正仿宋_GBK" w:eastAsia="方正仿宋_GBK" w:cs="Arial"/>
          <w:color w:val="000000"/>
          <w:kern w:val="0"/>
          <w:sz w:val="32"/>
          <w:szCs w:val="32"/>
        </w:rPr>
        <w:br w:type="page"/>
      </w:r>
    </w:p>
    <w:tbl>
      <w:tblPr>
        <w:jc w:val="left"/>
        <w:tblInd w:w="93" w:type="dxa"/>
        <w:tblW w:w="14149"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309"/>
        <w:gridCol w:w="326"/>
        <w:gridCol w:w="349"/>
        <w:gridCol w:w="4035"/>
        <w:gridCol w:w="1435"/>
        <w:gridCol w:w="1435"/>
        <w:gridCol w:w="981"/>
        <w:gridCol w:w="1232"/>
        <w:gridCol w:w="1130"/>
        <w:gridCol w:w="1326"/>
        <w:gridCol w:w="1593"/>
      </w:tblGrid>
      <w:tr>
        <w:trPr>
          <w:trHeight w:val="345"/>
        </w:trPr>
        <w:tc>
          <w:tcPr>
            <w:tcW w:w="14149" w:type="dxa"/>
            <w:gridSpan w:val="11"/>
            <w:tcBorders>
              <w:top w:val="nil"/>
              <w:left w:val="nil"/>
              <w:bottom w:val="nil"/>
              <w:right w:val="nil"/>
            </w:tcBorders>
            <w:shd w:val="clear" w:color="auto" w:fill="auto"/>
            <w:noWrap/>
            <w:vAlign w:val="bottom"/>
          </w:tcPr>
          <w:p>
            <w:pPr>
              <w:widowControl/>
              <w:spacing w:line="560" w:lineRule="exact"/>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收入决算表</w:t>
            </w:r>
          </w:p>
        </w:tc>
      </w:tr>
      <w:tr>
        <w:trPr>
          <w:trHeight w:val="255"/>
        </w:trPr>
        <w:tc>
          <w:tcPr>
            <w:tcW w:w="309"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326"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349"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4035"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435"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435"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981"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232"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130"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326"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593" w:type="dxa"/>
            <w:tcBorders>
              <w:top w:val="nil"/>
              <w:left w:val="nil"/>
              <w:bottom w:val="nil"/>
              <w:right w:val="nil"/>
            </w:tcBorders>
            <w:shd w:val="clear" w:color="auto" w:fill="auto"/>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公开02表</w:t>
            </w:r>
          </w:p>
        </w:tc>
      </w:tr>
      <w:tr>
        <w:trPr>
          <w:trHeight w:val="435"/>
        </w:trPr>
        <w:tc>
          <w:tcPr>
            <w:tcW w:w="5018" w:type="dxa"/>
            <w:gridSpan w:val="4"/>
            <w:tcBorders>
              <w:top w:val="nil"/>
              <w:left w:val="nil"/>
              <w:bottom w:val="single" w:sz="6" w:space="0" w:color="000000"/>
              <w:right w:val="nil"/>
            </w:tcBorders>
            <w:shd w:val="clear" w:color="auto" w:fill="auto"/>
            <w:noWrap/>
            <w:vAlign w:val="bottom"/>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单位：</w:t>
            </w:r>
            <w:r>
              <w:rPr>
                <w:rFonts w:ascii="方正仿宋_GBK" w:eastAsia="方正仿宋_GBK" w:cs="Arial"/>
                <w:color w:val="000000"/>
                <w:kern w:val="0"/>
                <w:sz w:val="22"/>
                <w:szCs w:val="22"/>
              </w:rPr>
              <w:t>涪陵海关</w:t>
            </w:r>
          </w:p>
        </w:tc>
        <w:tc>
          <w:tcPr>
            <w:tcW w:w="1435"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435"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981"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232"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130"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326"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593" w:type="dxa"/>
            <w:tcBorders>
              <w:top w:val="nil"/>
              <w:left w:val="nil"/>
              <w:bottom w:val="nil"/>
              <w:right w:val="nil"/>
            </w:tcBorders>
            <w:shd w:val="clear" w:color="auto" w:fill="auto"/>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金额单位：万元</w:t>
            </w:r>
          </w:p>
        </w:tc>
      </w:tr>
      <w:tr>
        <w:trPr>
          <w:trHeight w:val="315"/>
        </w:trPr>
        <w:tc>
          <w:tcPr>
            <w:tcW w:w="5018" w:type="dxa"/>
            <w:gridSpan w:val="4"/>
            <w:tcBorders>
              <w:top w:val="single" w:sz="6" w:space="0" w:color="000000"/>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w:t>
            </w:r>
          </w:p>
        </w:tc>
        <w:tc>
          <w:tcPr>
            <w:tcW w:w="1435"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本年收入合计</w:t>
            </w:r>
          </w:p>
        </w:tc>
        <w:tc>
          <w:tcPr>
            <w:tcW w:w="1435"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财政拨款收入</w:t>
            </w:r>
          </w:p>
        </w:tc>
        <w:tc>
          <w:tcPr>
            <w:tcW w:w="981"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上级补助收入</w:t>
            </w:r>
          </w:p>
        </w:tc>
        <w:tc>
          <w:tcPr>
            <w:tcW w:w="1232"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事业收入</w:t>
            </w:r>
          </w:p>
        </w:tc>
        <w:tc>
          <w:tcPr>
            <w:tcW w:w="1130"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经营收入</w:t>
            </w:r>
          </w:p>
        </w:tc>
        <w:tc>
          <w:tcPr>
            <w:tcW w:w="1326"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附属单位上缴收入</w:t>
            </w:r>
          </w:p>
        </w:tc>
        <w:tc>
          <w:tcPr>
            <w:tcW w:w="1593"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其他收入</w:t>
            </w:r>
          </w:p>
        </w:tc>
      </w:tr>
      <w:tr>
        <w:trPr>
          <w:trHeight w:val="1679"/>
        </w:trPr>
        <w:tc>
          <w:tcPr>
            <w:tcW w:w="984" w:type="dxa"/>
            <w:gridSpan w:val="3"/>
            <w:tcBorders>
              <w:top w:val="nil"/>
              <w:left w:val="single" w:sz="6" w:space="0" w:color="000000"/>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功能分类科目编码</w:t>
            </w:r>
          </w:p>
        </w:tc>
        <w:tc>
          <w:tcPr>
            <w:tcW w:w="40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科目名称</w:t>
            </w:r>
          </w:p>
        </w:tc>
        <w:tc>
          <w:tcPr>
            <w:tcW w:w="1435" w:type="dxa"/>
            <w:vMerge/>
            <w:tcBorders>
              <w:top w:val="single" w:sz="6" w:space="0" w:color="000000"/>
              <w:left w:val="nil"/>
              <w:bottom w:val="single" w:sz="6" w:space="0" w:color="000000"/>
              <w:right w:val="single" w:sz="6" w:space="0" w:color="000000"/>
            </w:tcBorders>
            <w:vAlign w:val="center"/>
          </w:tcPr>
          <w:p/>
        </w:tc>
        <w:tc>
          <w:tcPr>
            <w:tcW w:w="1435" w:type="dxa"/>
            <w:vMerge/>
            <w:tcBorders>
              <w:top w:val="single" w:sz="6" w:space="0" w:color="000000"/>
              <w:left w:val="nil"/>
              <w:bottom w:val="single" w:sz="6" w:space="0" w:color="000000"/>
              <w:right w:val="single" w:sz="6" w:space="0" w:color="000000"/>
            </w:tcBorders>
            <w:vAlign w:val="center"/>
          </w:tcPr>
          <w:p/>
        </w:tc>
        <w:tc>
          <w:tcPr>
            <w:tcW w:w="981" w:type="dxa"/>
            <w:vMerge/>
            <w:tcBorders>
              <w:top w:val="single" w:sz="6" w:space="0" w:color="000000"/>
              <w:left w:val="nil"/>
              <w:bottom w:val="single" w:sz="6" w:space="0" w:color="000000"/>
              <w:right w:val="single" w:sz="6" w:space="0" w:color="000000"/>
            </w:tcBorders>
            <w:vAlign w:val="center"/>
          </w:tcPr>
          <w:p/>
        </w:tc>
        <w:tc>
          <w:tcPr>
            <w:tcW w:w="1232" w:type="dxa"/>
            <w:vMerge/>
            <w:tcBorders>
              <w:top w:val="single" w:sz="6" w:space="0" w:color="000000"/>
              <w:left w:val="nil"/>
              <w:bottom w:val="single" w:sz="6" w:space="0" w:color="000000"/>
              <w:right w:val="single" w:sz="6" w:space="0" w:color="000000"/>
            </w:tcBorders>
            <w:vAlign w:val="center"/>
          </w:tcPr>
          <w:p/>
        </w:tc>
        <w:tc>
          <w:tcPr>
            <w:tcW w:w="1130" w:type="dxa"/>
            <w:vMerge/>
            <w:tcBorders>
              <w:top w:val="single" w:sz="6" w:space="0" w:color="000000"/>
              <w:left w:val="nil"/>
              <w:bottom w:val="single" w:sz="6" w:space="0" w:color="000000"/>
              <w:right w:val="single" w:sz="6" w:space="0" w:color="000000"/>
            </w:tcBorders>
            <w:vAlign w:val="center"/>
          </w:tcPr>
          <w:p/>
        </w:tc>
        <w:tc>
          <w:tcPr>
            <w:tcW w:w="1326" w:type="dxa"/>
            <w:vMerge/>
            <w:tcBorders>
              <w:top w:val="single" w:sz="6" w:space="0" w:color="000000"/>
              <w:left w:val="nil"/>
              <w:bottom w:val="single" w:sz="6" w:space="0" w:color="000000"/>
              <w:right w:val="single" w:sz="6" w:space="0" w:color="000000"/>
            </w:tcBorders>
            <w:vAlign w:val="center"/>
          </w:tcPr>
          <w:p/>
        </w:tc>
        <w:tc>
          <w:tcPr>
            <w:tcW w:w="1619" w:type="dxa"/>
            <w:vMerge/>
            <w:tcBorders>
              <w:top w:val="single" w:sz="6" w:space="0" w:color="000000"/>
              <w:left w:val="nil"/>
              <w:bottom w:val="single" w:sz="6" w:space="0" w:color="000000"/>
              <w:right w:val="single" w:sz="6" w:space="0" w:color="000000"/>
            </w:tcBorders>
            <w:vAlign w:val="center"/>
          </w:tcPr>
          <w:p/>
        </w:tc>
      </w:tr>
      <w:tr>
        <w:trPr>
          <w:trHeight w:val="315"/>
        </w:trPr>
        <w:tc>
          <w:tcPr>
            <w:tcW w:w="5018"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栏次</w:t>
            </w:r>
          </w:p>
        </w:tc>
        <w:tc>
          <w:tcPr>
            <w:tcW w:w="1435"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w:t>
            </w:r>
          </w:p>
        </w:tc>
        <w:tc>
          <w:tcPr>
            <w:tcW w:w="1435"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w:t>
            </w:r>
          </w:p>
        </w:tc>
        <w:tc>
          <w:tcPr>
            <w:tcW w:w="981"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w:t>
            </w:r>
          </w:p>
        </w:tc>
        <w:tc>
          <w:tcPr>
            <w:tcW w:w="1232"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w:t>
            </w:r>
          </w:p>
        </w:tc>
        <w:tc>
          <w:tcPr>
            <w:tcW w:w="1130"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5</w:t>
            </w:r>
          </w:p>
        </w:tc>
        <w:tc>
          <w:tcPr>
            <w:tcW w:w="1326"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6</w:t>
            </w:r>
          </w:p>
        </w:tc>
        <w:tc>
          <w:tcPr>
            <w:tcW w:w="1593"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7</w:t>
            </w:r>
          </w:p>
        </w:tc>
      </w:tr>
      <w:tr>
        <w:trPr>
          <w:trHeight w:val="315"/>
        </w:trPr>
        <w:tc>
          <w:tcPr>
            <w:tcW w:w="5018"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0"/>
                <w:szCs w:val="20"/>
              </w:rPr>
            </w:pPr>
            <w:r>
              <w:rPr>
                <w:rFonts w:ascii="方正仿宋_GBK" w:eastAsia="方正仿宋_GBK" w:cs="Arial" w:hint="eastAsia"/>
                <w:b/>
                <w:bCs/>
                <w:color w:val="000000"/>
                <w:kern w:val="0"/>
                <w:sz w:val="20"/>
                <w:szCs w:val="20"/>
              </w:rPr>
              <w:t>1593.10</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0"/>
                <w:szCs w:val="20"/>
              </w:rPr>
            </w:pPr>
            <w:r>
              <w:rPr>
                <w:rFonts w:ascii="方正仿宋_GBK" w:eastAsia="方正仿宋_GBK" w:cs="Arial" w:hint="eastAsia"/>
                <w:b/>
                <w:bCs/>
                <w:color w:val="000000"/>
                <w:kern w:val="0"/>
                <w:sz w:val="20"/>
                <w:szCs w:val="20"/>
              </w:rPr>
              <w:t>441.60</w:t>
            </w:r>
          </w:p>
        </w:tc>
        <w:tc>
          <w:tcPr>
            <w:tcW w:w="981"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0"/>
                <w:szCs w:val="20"/>
              </w:rPr>
            </w:pPr>
            <w:r>
              <w:rPr>
                <w:rFonts w:ascii="方正仿宋_GBK" w:eastAsia="方正仿宋_GBK" w:cs="Arial" w:hint="eastAsia"/>
                <w:b/>
                <w:bCs/>
                <w:color w:val="000000"/>
                <w:kern w:val="0"/>
                <w:sz w:val="20"/>
                <w:szCs w:val="20"/>
              </w:rPr>
              <w:t>0</w:t>
            </w:r>
          </w:p>
        </w:tc>
        <w:tc>
          <w:tcPr>
            <w:tcW w:w="123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0"/>
                <w:szCs w:val="20"/>
              </w:rPr>
            </w:pPr>
            <w:r>
              <w:rPr>
                <w:rFonts w:ascii="方正仿宋_GBK" w:eastAsia="方正仿宋_GBK" w:cs="Arial" w:hint="eastAsia"/>
                <w:b/>
                <w:bCs/>
                <w:color w:val="000000"/>
                <w:kern w:val="0"/>
                <w:sz w:val="20"/>
                <w:szCs w:val="20"/>
              </w:rPr>
              <w:t>0</w:t>
            </w:r>
          </w:p>
        </w:tc>
        <w:tc>
          <w:tcPr>
            <w:tcW w:w="1130"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0"/>
                <w:szCs w:val="20"/>
              </w:rPr>
            </w:pPr>
            <w:r>
              <w:rPr>
                <w:rFonts w:ascii="方正仿宋_GBK" w:eastAsia="方正仿宋_GBK" w:cs="Arial" w:hint="eastAsia"/>
                <w:b/>
                <w:bCs/>
                <w:color w:val="000000"/>
                <w:kern w:val="0"/>
                <w:sz w:val="20"/>
                <w:szCs w:val="20"/>
              </w:rPr>
              <w:t>0</w:t>
            </w:r>
          </w:p>
        </w:tc>
        <w:tc>
          <w:tcPr>
            <w:tcW w:w="132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0"/>
                <w:szCs w:val="20"/>
              </w:rPr>
            </w:pPr>
            <w:r>
              <w:rPr>
                <w:rFonts w:ascii="方正仿宋_GBK" w:eastAsia="方正仿宋_GBK" w:cs="Arial" w:hint="eastAsia"/>
                <w:b/>
                <w:bCs/>
                <w:color w:val="000000"/>
                <w:kern w:val="0"/>
                <w:sz w:val="20"/>
                <w:szCs w:val="20"/>
              </w:rPr>
              <w:t>0</w:t>
            </w:r>
          </w:p>
        </w:tc>
        <w:tc>
          <w:tcPr>
            <w:tcW w:w="1593"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0"/>
                <w:szCs w:val="20"/>
              </w:rPr>
            </w:pPr>
            <w:r>
              <w:rPr>
                <w:rFonts w:ascii="方正仿宋_GBK" w:eastAsia="方正仿宋_GBK" w:cs="Arial" w:hint="eastAsia"/>
                <w:b/>
                <w:bCs/>
                <w:color w:val="000000"/>
                <w:kern w:val="0"/>
                <w:sz w:val="20"/>
                <w:szCs w:val="20"/>
              </w:rPr>
              <w:t>1151.50</w:t>
            </w:r>
          </w:p>
        </w:tc>
      </w:tr>
      <w:tr>
        <w:trPr>
          <w:trHeight w:val="315"/>
        </w:trPr>
        <w:tc>
          <w:tcPr>
            <w:tcW w:w="984"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w:t>
            </w:r>
          </w:p>
        </w:tc>
        <w:tc>
          <w:tcPr>
            <w:tcW w:w="40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一般公共服务支出</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1593.10</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441.60</w:t>
            </w:r>
          </w:p>
        </w:tc>
        <w:tc>
          <w:tcPr>
            <w:tcW w:w="981"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23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130"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32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593"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1151.50</w:t>
            </w:r>
          </w:p>
        </w:tc>
      </w:tr>
      <w:tr>
        <w:trPr>
          <w:trHeight w:val="315"/>
        </w:trPr>
        <w:tc>
          <w:tcPr>
            <w:tcW w:w="984"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w:t>
            </w:r>
          </w:p>
        </w:tc>
        <w:tc>
          <w:tcPr>
            <w:tcW w:w="40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海关事务</w:t>
            </w:r>
          </w:p>
        </w:tc>
        <w:tc>
          <w:tcPr>
            <w:tcW w:w="1435"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r>
              <w:rPr>
                <w:rFonts w:ascii="方正仿宋_GBK" w:eastAsia="方正仿宋_GBK" w:cs="Arial" w:hint="eastAsia"/>
                <w:sz w:val="22"/>
                <w:szCs w:val="22"/>
              </w:rPr>
              <w:t>1593.10</w:t>
            </w:r>
          </w:p>
        </w:tc>
        <w:tc>
          <w:tcPr>
            <w:tcW w:w="1435"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r>
              <w:rPr>
                <w:rFonts w:ascii="方正仿宋_GBK" w:eastAsia="方正仿宋_GBK" w:cs="Arial" w:hint="eastAsia"/>
                <w:color w:val="000000"/>
                <w:kern w:val="0"/>
                <w:sz w:val="20"/>
                <w:szCs w:val="20"/>
              </w:rPr>
              <w:t>441.60</w:t>
            </w:r>
          </w:p>
        </w:tc>
        <w:tc>
          <w:tcPr>
            <w:tcW w:w="981"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p>
        </w:tc>
        <w:tc>
          <w:tcPr>
            <w:tcW w:w="1232"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p>
        </w:tc>
        <w:tc>
          <w:tcPr>
            <w:tcW w:w="1130"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p>
        </w:tc>
        <w:tc>
          <w:tcPr>
            <w:tcW w:w="1326"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p>
        </w:tc>
        <w:tc>
          <w:tcPr>
            <w:tcW w:w="1593"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r>
              <w:rPr>
                <w:rFonts w:ascii="方正仿宋_GBK" w:eastAsia="方正仿宋_GBK" w:cs="Arial" w:hint="eastAsia"/>
                <w:color w:val="000000"/>
                <w:kern w:val="0"/>
                <w:sz w:val="20"/>
                <w:szCs w:val="20"/>
              </w:rPr>
              <w:t>1151.50</w:t>
            </w:r>
          </w:p>
        </w:tc>
      </w:tr>
      <w:tr>
        <w:trPr>
          <w:trHeight w:val="315"/>
        </w:trPr>
        <w:tc>
          <w:tcPr>
            <w:tcW w:w="984"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2010901</w:t>
            </w:r>
          </w:p>
        </w:tc>
        <w:tc>
          <w:tcPr>
            <w:tcW w:w="40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行政运行</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1517.10</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365.60</w:t>
            </w:r>
          </w:p>
        </w:tc>
        <w:tc>
          <w:tcPr>
            <w:tcW w:w="981"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23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130"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32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593"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1151.50</w:t>
            </w:r>
          </w:p>
        </w:tc>
      </w:tr>
      <w:tr>
        <w:trPr>
          <w:trHeight w:val="315"/>
        </w:trPr>
        <w:tc>
          <w:tcPr>
            <w:tcW w:w="984"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2010909</w:t>
            </w:r>
          </w:p>
        </w:tc>
        <w:tc>
          <w:tcPr>
            <w:tcW w:w="40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海关关务</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71.00</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71.00</w:t>
            </w:r>
          </w:p>
        </w:tc>
        <w:tc>
          <w:tcPr>
            <w:tcW w:w="981"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23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130"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32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593"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r>
      <w:tr>
        <w:trPr>
          <w:trHeight w:val="315"/>
        </w:trPr>
        <w:tc>
          <w:tcPr>
            <w:tcW w:w="984"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2010911</w:t>
            </w:r>
          </w:p>
        </w:tc>
        <w:tc>
          <w:tcPr>
            <w:tcW w:w="40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海关监管</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3.00</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3.00</w:t>
            </w:r>
          </w:p>
        </w:tc>
        <w:tc>
          <w:tcPr>
            <w:tcW w:w="981"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23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130"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32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593"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r>
      <w:tr>
        <w:trPr>
          <w:trHeight w:val="315"/>
        </w:trPr>
        <w:tc>
          <w:tcPr>
            <w:tcW w:w="984"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2010912</w:t>
            </w:r>
          </w:p>
        </w:tc>
        <w:tc>
          <w:tcPr>
            <w:tcW w:w="40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检验检疫</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2.00</w:t>
            </w:r>
          </w:p>
        </w:tc>
        <w:tc>
          <w:tcPr>
            <w:tcW w:w="1435"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2.00</w:t>
            </w:r>
          </w:p>
        </w:tc>
        <w:tc>
          <w:tcPr>
            <w:tcW w:w="981"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23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130"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326"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c>
          <w:tcPr>
            <w:tcW w:w="1593"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0"/>
                <w:szCs w:val="20"/>
              </w:rPr>
            </w:pPr>
          </w:p>
        </w:tc>
      </w:tr>
      <w:tr>
        <w:trPr>
          <w:trHeight w:val="315"/>
        </w:trPr>
        <w:tc>
          <w:tcPr>
            <w:tcW w:w="14149" w:type="dxa"/>
            <w:gridSpan w:val="11"/>
            <w:tcBorders>
              <w:top w:val="nil"/>
              <w:left w:val="nil"/>
              <w:bottom w:val="nil"/>
              <w:right w:val="nil"/>
            </w:tcBorders>
            <w:shd w:val="clear" w:color="auto" w:fill="auto"/>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注：本表反映部门本年度取得的各项收入情况。</w:t>
            </w:r>
          </w:p>
        </w:tc>
      </w:tr>
    </w:tbl>
    <w:p>
      <w:r>
        <w:rPr>
          <w:rFonts w:ascii="方正仿宋_GBK" w:eastAsia="方正仿宋_GBK" w:cs="Arial"/>
          <w:color w:val="000000"/>
          <w:kern w:val="0"/>
          <w:sz w:val="30"/>
          <w:szCs w:val="30"/>
        </w:rPr>
        <w:br w:type="page"/>
      </w:r>
    </w:p>
    <w:tbl>
      <w:tblPr>
        <w:jc w:val="left"/>
        <w:tblInd w:w="93" w:type="dxa"/>
        <w:tblW w:w="14148"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309"/>
        <w:gridCol w:w="326"/>
        <w:gridCol w:w="349"/>
        <w:gridCol w:w="1375"/>
        <w:gridCol w:w="2114"/>
        <w:gridCol w:w="1548"/>
        <w:gridCol w:w="1548"/>
        <w:gridCol w:w="1267"/>
        <w:gridCol w:w="1828"/>
        <w:gridCol w:w="1264"/>
        <w:gridCol w:w="2222"/>
      </w:tblGrid>
      <w:tr>
        <w:trPr>
          <w:trHeight w:val="565"/>
        </w:trPr>
        <w:tc>
          <w:tcPr>
            <w:tcW w:w="14148" w:type="dxa"/>
            <w:gridSpan w:val="11"/>
            <w:tcBorders>
              <w:top w:val="nil"/>
              <w:left w:val="nil"/>
              <w:bottom w:val="nil"/>
              <w:right w:val="nil"/>
            </w:tcBorders>
            <w:shd w:val="clear" w:color="auto" w:fill="auto"/>
            <w:noWrap/>
            <w:vAlign w:val="bottom"/>
          </w:tcPr>
          <w:p>
            <w:pPr>
              <w:widowControl/>
              <w:spacing w:line="560" w:lineRule="exact"/>
              <w:jc w:val="center"/>
              <w:rPr>
                <w:rFonts w:ascii="方正仿宋_GBK" w:eastAsia="方正仿宋_GBK" w:cs="Arial"/>
                <w:color w:val="000000"/>
                <w:kern w:val="0"/>
                <w:sz w:val="30"/>
                <w:szCs w:val="30"/>
              </w:rPr>
            </w:pPr>
            <w:r>
              <w:rPr>
                <w:rFonts w:ascii="方正仿宋_GBK" w:eastAsia="方正仿宋_GBK" w:cs="Arial" w:hint="eastAsia"/>
                <w:color w:val="000000"/>
                <w:kern w:val="0"/>
                <w:sz w:val="30"/>
                <w:szCs w:val="30"/>
              </w:rPr>
              <w:t>支出决算表</w:t>
            </w:r>
          </w:p>
        </w:tc>
      </w:tr>
      <w:tr>
        <w:trPr>
          <w:trHeight w:val="565"/>
        </w:trPr>
        <w:tc>
          <w:tcPr>
            <w:tcW w:w="309"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326"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349"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3489" w:type="dxa"/>
            <w:gridSpan w:val="2"/>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548"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548"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267"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828"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264"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2222" w:type="dxa"/>
            <w:tcBorders>
              <w:top w:val="nil"/>
              <w:left w:val="nil"/>
              <w:bottom w:val="nil"/>
              <w:right w:val="nil"/>
            </w:tcBorders>
            <w:shd w:val="clear" w:color="auto" w:fill="auto"/>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公开03表</w:t>
            </w:r>
          </w:p>
        </w:tc>
      </w:tr>
      <w:tr>
        <w:trPr>
          <w:trHeight w:val="565"/>
        </w:trPr>
        <w:tc>
          <w:tcPr>
            <w:tcW w:w="4472" w:type="dxa"/>
            <w:gridSpan w:val="5"/>
            <w:tcBorders>
              <w:top w:val="nil"/>
              <w:left w:val="nil"/>
              <w:bottom w:val="single" w:sz="6" w:space="0" w:color="000000"/>
              <w:right w:val="nil"/>
            </w:tcBorders>
            <w:shd w:val="clear" w:color="auto" w:fill="auto"/>
            <w:noWrap/>
            <w:vAlign w:val="bottom"/>
          </w:tcPr>
          <w:p>
            <w:pPr>
              <w:widowControl/>
              <w:spacing w:line="560" w:lineRule="exact"/>
              <w:jc w:val="left"/>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单位：</w:t>
            </w:r>
            <w:r>
              <w:rPr>
                <w:rFonts w:ascii="方正仿宋_GBK" w:eastAsia="方正仿宋_GBK" w:cs="Arial"/>
                <w:color w:val="000000"/>
                <w:kern w:val="0"/>
                <w:sz w:val="20"/>
                <w:szCs w:val="20"/>
              </w:rPr>
              <w:t>涪陵海关</w:t>
            </w:r>
          </w:p>
        </w:tc>
        <w:tc>
          <w:tcPr>
            <w:tcW w:w="1548"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20"/>
                <w:szCs w:val="20"/>
              </w:rPr>
            </w:pPr>
          </w:p>
        </w:tc>
        <w:tc>
          <w:tcPr>
            <w:tcW w:w="1548"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20"/>
                <w:szCs w:val="20"/>
              </w:rPr>
            </w:pPr>
          </w:p>
        </w:tc>
        <w:tc>
          <w:tcPr>
            <w:tcW w:w="1267"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20"/>
                <w:szCs w:val="20"/>
              </w:rPr>
            </w:pPr>
          </w:p>
        </w:tc>
        <w:tc>
          <w:tcPr>
            <w:tcW w:w="1828"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20"/>
                <w:szCs w:val="20"/>
              </w:rPr>
            </w:pPr>
          </w:p>
        </w:tc>
        <w:tc>
          <w:tcPr>
            <w:tcW w:w="1264" w:type="dxa"/>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20"/>
                <w:szCs w:val="20"/>
              </w:rPr>
            </w:pPr>
          </w:p>
        </w:tc>
        <w:tc>
          <w:tcPr>
            <w:tcW w:w="2222" w:type="dxa"/>
            <w:tcBorders>
              <w:top w:val="nil"/>
              <w:left w:val="nil"/>
              <w:bottom w:val="nil"/>
              <w:right w:val="nil"/>
            </w:tcBorders>
            <w:shd w:val="clear" w:color="auto" w:fill="auto"/>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金额单位：万元</w:t>
            </w:r>
          </w:p>
        </w:tc>
      </w:tr>
      <w:tr>
        <w:tc>
          <w:tcPr>
            <w:tcW w:w="4472" w:type="dxa"/>
            <w:gridSpan w:val="5"/>
            <w:tcBorders>
              <w:top w:val="single" w:sz="6" w:space="0" w:color="000000"/>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w:t>
            </w:r>
          </w:p>
        </w:tc>
        <w:tc>
          <w:tcPr>
            <w:tcW w:w="1548"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本年支出合计</w:t>
            </w:r>
          </w:p>
        </w:tc>
        <w:tc>
          <w:tcPr>
            <w:tcW w:w="1548"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基本支出</w:t>
            </w:r>
          </w:p>
        </w:tc>
        <w:tc>
          <w:tcPr>
            <w:tcW w:w="1267"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项目支出</w:t>
            </w:r>
          </w:p>
        </w:tc>
        <w:tc>
          <w:tcPr>
            <w:tcW w:w="1828"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上缴上级支出</w:t>
            </w:r>
          </w:p>
        </w:tc>
        <w:tc>
          <w:tcPr>
            <w:tcW w:w="1264"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经营支出</w:t>
            </w:r>
          </w:p>
        </w:tc>
        <w:tc>
          <w:tcPr>
            <w:tcW w:w="2222" w:type="dxa"/>
            <w:vMerge w:val="restart"/>
            <w:tcBorders>
              <w:top w:val="single" w:sz="6" w:space="0" w:color="000000"/>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对附属单位补助支出</w:t>
            </w:r>
          </w:p>
        </w:tc>
      </w:tr>
      <w:tr>
        <w:trPr>
          <w:trHeight w:val="560"/>
        </w:trPr>
        <w:tc>
          <w:tcPr>
            <w:tcW w:w="2359" w:type="dxa"/>
            <w:gridSpan w:val="4"/>
            <w:tcBorders>
              <w:top w:val="nil"/>
              <w:left w:val="single" w:sz="6" w:space="0" w:color="000000"/>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功能分类科目编码</w:t>
            </w:r>
          </w:p>
        </w:tc>
        <w:tc>
          <w:tcPr>
            <w:tcW w:w="21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科目名称</w:t>
            </w:r>
          </w:p>
        </w:tc>
        <w:tc>
          <w:tcPr>
            <w:tcW w:w="1548" w:type="dxa"/>
            <w:vMerge/>
            <w:tcBorders>
              <w:top w:val="single" w:sz="6" w:space="0" w:color="000000"/>
              <w:left w:val="nil"/>
              <w:bottom w:val="single" w:sz="6" w:space="0" w:color="000000"/>
              <w:right w:val="single" w:sz="6" w:space="0" w:color="000000"/>
            </w:tcBorders>
            <w:vAlign w:val="center"/>
          </w:tcPr>
          <w:p/>
        </w:tc>
        <w:tc>
          <w:tcPr>
            <w:tcW w:w="1548" w:type="dxa"/>
            <w:vMerge/>
            <w:tcBorders>
              <w:top w:val="single" w:sz="6" w:space="0" w:color="000000"/>
              <w:left w:val="nil"/>
              <w:bottom w:val="single" w:sz="6" w:space="0" w:color="000000"/>
              <w:right w:val="single" w:sz="6" w:space="0" w:color="000000"/>
            </w:tcBorders>
            <w:vAlign w:val="center"/>
          </w:tcPr>
          <w:p/>
        </w:tc>
        <w:tc>
          <w:tcPr>
            <w:tcW w:w="1267" w:type="dxa"/>
            <w:vMerge/>
            <w:tcBorders>
              <w:top w:val="single" w:sz="6" w:space="0" w:color="000000"/>
              <w:left w:val="nil"/>
              <w:bottom w:val="single" w:sz="6" w:space="0" w:color="000000"/>
              <w:right w:val="single" w:sz="6" w:space="0" w:color="000000"/>
            </w:tcBorders>
            <w:vAlign w:val="center"/>
          </w:tcPr>
          <w:p/>
        </w:tc>
        <w:tc>
          <w:tcPr>
            <w:tcW w:w="1829" w:type="dxa"/>
            <w:vMerge/>
            <w:tcBorders>
              <w:top w:val="single" w:sz="6" w:space="0" w:color="000000"/>
              <w:left w:val="nil"/>
              <w:bottom w:val="single" w:sz="6" w:space="0" w:color="000000"/>
              <w:right w:val="single" w:sz="6" w:space="0" w:color="000000"/>
            </w:tcBorders>
            <w:vAlign w:val="center"/>
          </w:tcPr>
          <w:p/>
        </w:tc>
        <w:tc>
          <w:tcPr>
            <w:tcW w:w="1264" w:type="dxa"/>
            <w:vMerge/>
            <w:tcBorders>
              <w:top w:val="single" w:sz="6" w:space="0" w:color="000000"/>
              <w:left w:val="nil"/>
              <w:bottom w:val="single" w:sz="6" w:space="0" w:color="000000"/>
              <w:right w:val="single" w:sz="6" w:space="0" w:color="000000"/>
            </w:tcBorders>
            <w:vAlign w:val="center"/>
          </w:tcPr>
          <w:p/>
        </w:tc>
        <w:tc>
          <w:tcPr>
            <w:tcW w:w="2248" w:type="dxa"/>
            <w:vMerge/>
            <w:tcBorders>
              <w:top w:val="single" w:sz="6" w:space="0" w:color="000000"/>
              <w:left w:val="nil"/>
              <w:bottom w:val="single" w:sz="6" w:space="0" w:color="000000"/>
              <w:right w:val="single" w:sz="6" w:space="0" w:color="000000"/>
            </w:tcBorders>
            <w:vAlign w:val="center"/>
          </w:tcPr>
          <w:p/>
        </w:tc>
      </w:tr>
      <w:tr>
        <w:trPr>
          <w:trHeight w:val="590"/>
        </w:trPr>
        <w:tc>
          <w:tcPr>
            <w:tcW w:w="4472" w:type="dxa"/>
            <w:gridSpan w:val="5"/>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栏次</w:t>
            </w:r>
          </w:p>
        </w:tc>
        <w:tc>
          <w:tcPr>
            <w:tcW w:w="1548"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w:t>
            </w:r>
          </w:p>
        </w:tc>
        <w:tc>
          <w:tcPr>
            <w:tcW w:w="1548"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w:t>
            </w:r>
          </w:p>
        </w:tc>
        <w:tc>
          <w:tcPr>
            <w:tcW w:w="1267"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w:t>
            </w:r>
          </w:p>
        </w:tc>
        <w:tc>
          <w:tcPr>
            <w:tcW w:w="1828"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w:t>
            </w:r>
          </w:p>
        </w:tc>
        <w:tc>
          <w:tcPr>
            <w:tcW w:w="1264"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5</w:t>
            </w:r>
          </w:p>
        </w:tc>
        <w:tc>
          <w:tcPr>
            <w:tcW w:w="2222" w:type="dxa"/>
            <w:tcBorders>
              <w:top w:val="nil"/>
              <w:left w:val="nil"/>
              <w:bottom w:val="single" w:sz="6" w:space="0" w:color="000000"/>
              <w:right w:val="single" w:sz="6" w:space="0" w:color="000000"/>
            </w:tcBorders>
            <w:shd w:val="clear" w:color="auto" w:fill="auto"/>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6</w:t>
            </w:r>
          </w:p>
        </w:tc>
      </w:tr>
      <w:tr>
        <w:trPr>
          <w:trHeight w:val="565"/>
        </w:trPr>
        <w:tc>
          <w:tcPr>
            <w:tcW w:w="4472" w:type="dxa"/>
            <w:gridSpan w:val="5"/>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2"/>
                <w:szCs w:val="22"/>
              </w:rPr>
            </w:pPr>
            <w:r>
              <w:rPr>
                <w:rFonts w:ascii="方正仿宋_GBK" w:eastAsia="方正仿宋_GBK" w:cs="Arial" w:hint="eastAsia"/>
                <w:b/>
                <w:bCs/>
                <w:color w:val="000000"/>
                <w:kern w:val="0"/>
                <w:sz w:val="22"/>
                <w:szCs w:val="22"/>
              </w:rPr>
              <w:t>977.08</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2"/>
                <w:szCs w:val="22"/>
              </w:rPr>
            </w:pPr>
            <w:r>
              <w:rPr>
                <w:rFonts w:ascii="方正仿宋_GBK" w:eastAsia="方正仿宋_GBK" w:cs="Arial" w:hint="eastAsia"/>
                <w:b/>
                <w:bCs/>
                <w:color w:val="000000"/>
                <w:kern w:val="0"/>
                <w:sz w:val="22"/>
                <w:szCs w:val="22"/>
              </w:rPr>
              <w:t>901.08</w:t>
            </w:r>
          </w:p>
        </w:tc>
        <w:tc>
          <w:tcPr>
            <w:tcW w:w="1267"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2"/>
                <w:szCs w:val="22"/>
              </w:rPr>
            </w:pPr>
            <w:r>
              <w:rPr>
                <w:rFonts w:ascii="方正仿宋_GBK" w:eastAsia="方正仿宋_GBK" w:cs="Arial" w:hint="eastAsia"/>
                <w:b/>
                <w:bCs/>
                <w:color w:val="000000"/>
                <w:kern w:val="0"/>
                <w:sz w:val="22"/>
                <w:szCs w:val="22"/>
              </w:rPr>
              <w:t>76.00</w:t>
            </w:r>
          </w:p>
        </w:tc>
        <w:tc>
          <w:tcPr>
            <w:tcW w:w="182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2"/>
                <w:szCs w:val="22"/>
              </w:rPr>
            </w:pPr>
          </w:p>
        </w:tc>
        <w:tc>
          <w:tcPr>
            <w:tcW w:w="126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b/>
                <w:bCs/>
                <w:color w:val="000000"/>
                <w:kern w:val="0"/>
                <w:sz w:val="22"/>
                <w:szCs w:val="22"/>
              </w:rPr>
            </w:pPr>
          </w:p>
        </w:tc>
        <w:tc>
          <w:tcPr>
            <w:tcW w:w="222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right"/>
              <w:rPr>
                <w:rFonts w:ascii="方正仿宋_GBK" w:eastAsia="方正仿宋_GBK" w:cs="Arial"/>
                <w:b/>
                <w:bCs/>
                <w:color w:val="000000"/>
                <w:kern w:val="0"/>
                <w:sz w:val="22"/>
                <w:szCs w:val="22"/>
              </w:rPr>
            </w:pPr>
          </w:p>
        </w:tc>
      </w:tr>
      <w:tr>
        <w:trPr>
          <w:trHeight w:val="565"/>
        </w:trPr>
        <w:tc>
          <w:tcPr>
            <w:tcW w:w="2359"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w:t>
            </w:r>
          </w:p>
        </w:tc>
        <w:tc>
          <w:tcPr>
            <w:tcW w:w="21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一般公共服务支出</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977.08</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bCs/>
                <w:color w:val="000000"/>
                <w:kern w:val="0"/>
                <w:sz w:val="22"/>
                <w:szCs w:val="22"/>
              </w:rPr>
              <w:t>901.08</w:t>
            </w:r>
          </w:p>
        </w:tc>
        <w:tc>
          <w:tcPr>
            <w:tcW w:w="1267"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76.00</w:t>
            </w:r>
          </w:p>
        </w:tc>
        <w:tc>
          <w:tcPr>
            <w:tcW w:w="182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26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222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right"/>
              <w:rPr>
                <w:rFonts w:ascii="方正仿宋_GBK" w:eastAsia="方正仿宋_GBK" w:cs="Arial"/>
                <w:color w:val="000000"/>
                <w:kern w:val="0"/>
                <w:sz w:val="22"/>
                <w:szCs w:val="22"/>
              </w:rPr>
            </w:pPr>
          </w:p>
        </w:tc>
      </w:tr>
      <w:tr>
        <w:trPr>
          <w:trHeight w:val="565"/>
        </w:trPr>
        <w:tc>
          <w:tcPr>
            <w:tcW w:w="2359"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w:t>
            </w:r>
          </w:p>
        </w:tc>
        <w:tc>
          <w:tcPr>
            <w:tcW w:w="21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海关事务</w:t>
            </w:r>
          </w:p>
        </w:tc>
        <w:tc>
          <w:tcPr>
            <w:tcW w:w="1548"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r>
              <w:rPr>
                <w:rFonts w:ascii="方正仿宋_GBK" w:eastAsia="方正仿宋_GBK" w:cs="Arial" w:hint="eastAsia"/>
                <w:sz w:val="22"/>
                <w:szCs w:val="22"/>
              </w:rPr>
              <w:t>977.08</w:t>
            </w:r>
          </w:p>
        </w:tc>
        <w:tc>
          <w:tcPr>
            <w:tcW w:w="1548"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r>
              <w:rPr>
                <w:rFonts w:ascii="方正仿宋_GBK" w:eastAsia="方正仿宋_GBK" w:cs="Arial" w:hint="eastAsia"/>
                <w:bCs/>
                <w:color w:val="000000"/>
                <w:kern w:val="0"/>
                <w:sz w:val="22"/>
                <w:szCs w:val="22"/>
              </w:rPr>
              <w:t>901.08</w:t>
            </w:r>
          </w:p>
        </w:tc>
        <w:tc>
          <w:tcPr>
            <w:tcW w:w="1267"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r>
              <w:rPr>
                <w:rFonts w:ascii="方正仿宋_GBK" w:eastAsia="方正仿宋_GBK" w:cs="Arial" w:hint="eastAsia"/>
                <w:sz w:val="22"/>
                <w:szCs w:val="22"/>
              </w:rPr>
              <w:t>76.00</w:t>
            </w:r>
          </w:p>
        </w:tc>
        <w:tc>
          <w:tcPr>
            <w:tcW w:w="1828"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p>
        </w:tc>
        <w:tc>
          <w:tcPr>
            <w:tcW w:w="1264" w:type="dxa"/>
            <w:tcBorders>
              <w:top w:val="nil"/>
              <w:left w:val="nil"/>
              <w:bottom w:val="single" w:sz="6" w:space="0" w:color="000000"/>
              <w:right w:val="single" w:sz="6" w:space="0" w:color="000000"/>
            </w:tcBorders>
            <w:shd w:val="clear" w:color="auto" w:fill="auto"/>
            <w:noWrap/>
            <w:vAlign w:val="center"/>
          </w:tcPr>
          <w:p>
            <w:pPr>
              <w:spacing w:line="560" w:lineRule="exact"/>
              <w:jc w:val="center"/>
              <w:rPr>
                <w:rFonts w:ascii="方正仿宋_GBK" w:eastAsia="方正仿宋_GBK" w:cs="Arial"/>
                <w:sz w:val="22"/>
                <w:szCs w:val="22"/>
              </w:rPr>
            </w:pPr>
          </w:p>
        </w:tc>
        <w:tc>
          <w:tcPr>
            <w:tcW w:w="2222" w:type="dxa"/>
            <w:tcBorders>
              <w:top w:val="nil"/>
              <w:left w:val="nil"/>
              <w:bottom w:val="single" w:sz="6" w:space="0" w:color="000000"/>
              <w:right w:val="single" w:sz="6" w:space="0" w:color="000000"/>
            </w:tcBorders>
            <w:shd w:val="clear" w:color="auto" w:fill="auto"/>
            <w:noWrap/>
            <w:vAlign w:val="center"/>
          </w:tcPr>
          <w:p>
            <w:pPr>
              <w:spacing w:line="560" w:lineRule="exact"/>
              <w:jc w:val="right"/>
              <w:rPr>
                <w:rFonts w:ascii="方正仿宋_GBK" w:eastAsia="方正仿宋_GBK" w:cs="Arial"/>
                <w:sz w:val="22"/>
                <w:szCs w:val="22"/>
              </w:rPr>
            </w:pPr>
          </w:p>
        </w:tc>
      </w:tr>
      <w:tr>
        <w:trPr>
          <w:trHeight w:val="565"/>
        </w:trPr>
        <w:tc>
          <w:tcPr>
            <w:tcW w:w="2359"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2010901</w:t>
            </w:r>
          </w:p>
        </w:tc>
        <w:tc>
          <w:tcPr>
            <w:tcW w:w="21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行政运行</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901.08</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bCs/>
                <w:color w:val="000000"/>
                <w:kern w:val="0"/>
                <w:sz w:val="22"/>
                <w:szCs w:val="22"/>
              </w:rPr>
              <w:t>901.08</w:t>
            </w:r>
          </w:p>
        </w:tc>
        <w:tc>
          <w:tcPr>
            <w:tcW w:w="1267"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82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26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222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right"/>
              <w:rPr>
                <w:rFonts w:ascii="方正仿宋_GBK" w:eastAsia="方正仿宋_GBK" w:cs="Arial"/>
                <w:color w:val="000000"/>
                <w:kern w:val="0"/>
                <w:sz w:val="22"/>
                <w:szCs w:val="22"/>
              </w:rPr>
            </w:pPr>
          </w:p>
        </w:tc>
      </w:tr>
      <w:tr>
        <w:trPr>
          <w:trHeight w:val="565"/>
        </w:trPr>
        <w:tc>
          <w:tcPr>
            <w:tcW w:w="2359"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2010909</w:t>
            </w:r>
          </w:p>
        </w:tc>
        <w:tc>
          <w:tcPr>
            <w:tcW w:w="21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海关关务</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71.00</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267"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71.00</w:t>
            </w:r>
          </w:p>
        </w:tc>
        <w:tc>
          <w:tcPr>
            <w:tcW w:w="182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26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222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right"/>
              <w:rPr>
                <w:rFonts w:ascii="方正仿宋_GBK" w:eastAsia="方正仿宋_GBK" w:cs="Arial"/>
                <w:color w:val="000000"/>
                <w:kern w:val="0"/>
                <w:sz w:val="22"/>
                <w:szCs w:val="22"/>
              </w:rPr>
            </w:pPr>
          </w:p>
        </w:tc>
      </w:tr>
      <w:tr>
        <w:trPr>
          <w:trHeight w:val="565"/>
        </w:trPr>
        <w:tc>
          <w:tcPr>
            <w:tcW w:w="2359"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2010911</w:t>
            </w:r>
          </w:p>
        </w:tc>
        <w:tc>
          <w:tcPr>
            <w:tcW w:w="21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海关监管</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3.00</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267"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3.00</w:t>
            </w:r>
          </w:p>
        </w:tc>
        <w:tc>
          <w:tcPr>
            <w:tcW w:w="182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26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222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right"/>
              <w:rPr>
                <w:rFonts w:ascii="方正仿宋_GBK" w:eastAsia="方正仿宋_GBK" w:cs="Arial"/>
                <w:color w:val="000000"/>
                <w:kern w:val="0"/>
                <w:sz w:val="22"/>
                <w:szCs w:val="22"/>
              </w:rPr>
            </w:pPr>
          </w:p>
        </w:tc>
      </w:tr>
      <w:tr>
        <w:trPr>
          <w:trHeight w:val="565"/>
        </w:trPr>
        <w:tc>
          <w:tcPr>
            <w:tcW w:w="2359" w:type="dxa"/>
            <w:gridSpan w:val="4"/>
            <w:tcBorders>
              <w:top w:val="nil"/>
              <w:left w:val="single" w:sz="6" w:space="0" w:color="000000"/>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2010912</w:t>
            </w:r>
          </w:p>
        </w:tc>
        <w:tc>
          <w:tcPr>
            <w:tcW w:w="211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检验检疫</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2.00</w:t>
            </w:r>
          </w:p>
        </w:tc>
        <w:tc>
          <w:tcPr>
            <w:tcW w:w="154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267"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2.00</w:t>
            </w:r>
          </w:p>
        </w:tc>
        <w:tc>
          <w:tcPr>
            <w:tcW w:w="1828"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1264"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p>
        </w:tc>
        <w:tc>
          <w:tcPr>
            <w:tcW w:w="2222" w:type="dxa"/>
            <w:tcBorders>
              <w:top w:val="nil"/>
              <w:left w:val="nil"/>
              <w:bottom w:val="single" w:sz="6" w:space="0" w:color="000000"/>
              <w:right w:val="single" w:sz="6" w:space="0" w:color="000000"/>
            </w:tcBorders>
            <w:shd w:val="clear" w:color="auto" w:fill="auto"/>
            <w:noWrap/>
            <w:vAlign w:val="center"/>
          </w:tcPr>
          <w:p>
            <w:pPr>
              <w:widowControl/>
              <w:spacing w:line="560" w:lineRule="exact"/>
              <w:jc w:val="right"/>
              <w:rPr>
                <w:rFonts w:ascii="方正仿宋_GBK" w:eastAsia="方正仿宋_GBK" w:cs="Arial"/>
                <w:color w:val="000000"/>
                <w:kern w:val="0"/>
                <w:sz w:val="22"/>
                <w:szCs w:val="22"/>
              </w:rPr>
            </w:pPr>
          </w:p>
        </w:tc>
      </w:tr>
      <w:tr>
        <w:trPr>
          <w:trHeight w:val="565"/>
        </w:trPr>
        <w:tc>
          <w:tcPr>
            <w:tcW w:w="14148" w:type="dxa"/>
            <w:gridSpan w:val="11"/>
            <w:tcBorders>
              <w:top w:val="nil"/>
              <w:left w:val="nil"/>
              <w:bottom w:val="nil"/>
              <w:right w:val="nil"/>
            </w:tcBorders>
            <w:shd w:val="clear" w:color="auto" w:fill="auto"/>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注：本表反映部门本年度各项支出情况。</w:t>
            </w:r>
          </w:p>
        </w:tc>
      </w:tr>
      <w:tr>
        <w:trPr>
          <w:trHeight w:val="565"/>
        </w:trPr>
        <w:tc>
          <w:tcPr>
            <w:tcW w:w="14148" w:type="dxa"/>
            <w:gridSpan w:val="11"/>
            <w:tcBorders>
              <w:top w:val="nil"/>
              <w:left w:val="nil"/>
              <w:bottom w:val="nil"/>
              <w:right w:val="nil"/>
            </w:tcBorders>
            <w:shd w:val="clear" w:color="auto" w:fill="auto"/>
            <w:noWrap/>
            <w:vAlign w:val="center"/>
          </w:tcPr>
          <w:p>
            <w:pPr>
              <w:widowControl/>
              <w:spacing w:line="560" w:lineRule="exact"/>
              <w:jc w:val="left"/>
              <w:rPr>
                <w:rFonts w:ascii="方正仿宋_GBK" w:eastAsia="方正仿宋_GBK" w:cs="Arial" w:hint="eastAsia"/>
                <w:color w:val="000000"/>
                <w:kern w:val="0"/>
                <w:sz w:val="22"/>
                <w:szCs w:val="22"/>
              </w:rPr>
            </w:pPr>
          </w:p>
          <w:p>
            <w:pPr>
              <w:widowControl/>
              <w:spacing w:line="560" w:lineRule="exact"/>
              <w:jc w:val="left"/>
              <w:rPr>
                <w:rFonts w:ascii="方正仿宋_GBK" w:eastAsia="方正仿宋_GBK" w:cs="Arial" w:hint="eastAsia"/>
                <w:color w:val="000000"/>
                <w:kern w:val="0"/>
                <w:sz w:val="22"/>
                <w:szCs w:val="22"/>
              </w:rPr>
            </w:pPr>
          </w:p>
        </w:tc>
      </w:tr>
    </w:tbl>
    <w:p/>
    <w:tbl>
      <w:tblPr>
        <w:jc w:val="left"/>
        <w:tblInd w:w="188" w:type="dxa"/>
        <w:tblW w:w="16349"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2458"/>
        <w:gridCol w:w="436"/>
        <w:gridCol w:w="587"/>
        <w:gridCol w:w="793"/>
        <w:gridCol w:w="156"/>
        <w:gridCol w:w="108"/>
        <w:gridCol w:w="2718"/>
        <w:gridCol w:w="444"/>
        <w:gridCol w:w="1559"/>
        <w:gridCol w:w="514"/>
        <w:gridCol w:w="580"/>
        <w:gridCol w:w="461"/>
        <w:gridCol w:w="1218"/>
        <w:gridCol w:w="487"/>
        <w:gridCol w:w="1535"/>
        <w:gridCol w:w="96"/>
        <w:gridCol w:w="1584"/>
        <w:gridCol w:w="616"/>
      </w:tblGrid>
      <w:tr>
        <w:trPr>
          <w:trHeight w:val="390"/>
        </w:trPr>
        <w:tc>
          <w:tcPr>
            <w:tcW w:w="3481" w:type="dxa"/>
            <w:gridSpan w:val="3"/>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r>
              <w:rPr>
                <w:rFonts w:ascii="方正仿宋_GBK" w:eastAsia="方正仿宋_GBK" w:cs="Arial"/>
                <w:color w:val="000000"/>
                <w:kern w:val="0"/>
                <w:sz w:val="20"/>
                <w:szCs w:val="20"/>
              </w:rPr>
              <w:t>单位</w:t>
            </w:r>
            <w:r>
              <w:rPr>
                <w:rFonts w:ascii="方正仿宋_GBK" w:eastAsia="方正仿宋_GBK" w:cs="Arial" w:hint="eastAsia"/>
                <w:color w:val="000000"/>
                <w:kern w:val="0"/>
                <w:sz w:val="20"/>
                <w:szCs w:val="20"/>
              </w:rPr>
              <w:t>：</w:t>
            </w:r>
            <w:r>
              <w:rPr>
                <w:rFonts w:ascii="方正仿宋_GBK" w:eastAsia="方正仿宋_GBK" w:cs="Arial"/>
                <w:color w:val="000000"/>
                <w:kern w:val="0"/>
                <w:sz w:val="20"/>
                <w:szCs w:val="20"/>
              </w:rPr>
              <w:t>涪陵海关</w:t>
            </w:r>
          </w:p>
        </w:tc>
        <w:tc>
          <w:tcPr>
            <w:tcW w:w="793"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264" w:type="dxa"/>
            <w:gridSpan w:val="2"/>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5235" w:type="dxa"/>
            <w:gridSpan w:val="4"/>
            <w:tcBorders>
              <w:top w:val="nil"/>
              <w:left w:val="nil"/>
              <w:bottom w:val="nil"/>
              <w:right w:val="nil"/>
            </w:tcBorders>
            <w:shd w:val="clear" w:color="auto" w:fill="auto"/>
            <w:noWrap/>
            <w:vAlign w:val="bottom"/>
          </w:tcPr>
          <w:p>
            <w:pPr>
              <w:widowControl/>
              <w:spacing w:line="560" w:lineRule="exact"/>
              <w:jc w:val="center"/>
              <w:rPr>
                <w:rFonts w:ascii="方正仿宋_GBK" w:eastAsia="方正仿宋_GBK" w:cs="Arial"/>
                <w:color w:val="000000"/>
                <w:kern w:val="0"/>
                <w:sz w:val="30"/>
                <w:szCs w:val="30"/>
              </w:rPr>
            </w:pPr>
            <w:r>
              <w:rPr>
                <w:rFonts w:ascii="方正仿宋_GBK" w:eastAsia="方正仿宋_GBK" w:cs="Arial" w:hint="eastAsia"/>
                <w:color w:val="000000"/>
                <w:kern w:val="0"/>
                <w:sz w:val="30"/>
                <w:szCs w:val="30"/>
              </w:rPr>
              <w:t>财政拨款收入支出决算总表</w:t>
            </w:r>
          </w:p>
          <w:p>
            <w:pPr>
              <w:widowControl/>
              <w:spacing w:line="560" w:lineRule="exact"/>
              <w:jc w:val="center"/>
              <w:rPr>
                <w:rFonts w:ascii="方正仿宋_GBK" w:eastAsia="方正仿宋_GBK" w:cs="Arial"/>
                <w:color w:val="000000"/>
                <w:kern w:val="0"/>
                <w:sz w:val="30"/>
                <w:szCs w:val="30"/>
              </w:rPr>
            </w:pPr>
          </w:p>
        </w:tc>
        <w:tc>
          <w:tcPr>
            <w:tcW w:w="580"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679" w:type="dxa"/>
            <w:gridSpan w:val="2"/>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2022" w:type="dxa"/>
            <w:gridSpan w:val="2"/>
            <w:tcBorders>
              <w:top w:val="nil"/>
              <w:left w:val="nil"/>
              <w:bottom w:val="nil"/>
              <w:right w:val="nil"/>
            </w:tcBorders>
            <w:shd w:val="clear" w:color="auto" w:fill="auto"/>
            <w:noWrap/>
            <w:vAlign w:val="bottom"/>
          </w:tcPr>
          <w:tbl>
            <w:tblPr>
              <w:jc w:val="left"/>
              <w:tblW w:w="180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800"/>
            </w:tblGrid>
            <w:tr>
              <w:trPr>
                <w:trHeight w:val="255"/>
              </w:trPr>
              <w:tc>
                <w:tcPr>
                  <w:tcW w:w="1800" w:type="dxa"/>
                  <w:tcBorders>
                    <w:top w:val="nil"/>
                    <w:left w:val="nil"/>
                    <w:bottom w:val="nil"/>
                    <w:right w:val="nil"/>
                  </w:tcBorders>
                  <w:shd w:val="clear" w:color="auto" w:fill="auto"/>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公开04表</w:t>
                  </w:r>
                </w:p>
              </w:tc>
            </w:tr>
            <w:tr>
              <w:trPr>
                <w:trHeight w:val="255"/>
              </w:trPr>
              <w:tc>
                <w:tcPr>
                  <w:tcW w:w="1800" w:type="dxa"/>
                  <w:tcBorders>
                    <w:top w:val="nil"/>
                    <w:left w:val="nil"/>
                    <w:bottom w:val="nil"/>
                    <w:right w:val="nil"/>
                  </w:tcBorders>
                  <w:shd w:val="clear" w:color="auto" w:fill="auto"/>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金额单位：万元</w:t>
                  </w:r>
                </w:p>
              </w:tc>
            </w:tr>
          </w:tbl>
          <w:p>
            <w:pPr>
              <w:widowControl/>
              <w:spacing w:line="560" w:lineRule="exact"/>
              <w:jc w:val="left"/>
              <w:rPr>
                <w:rFonts w:ascii="Arial" w:cs="Arial" w:hAnsi="Arial"/>
                <w:color w:val="000000"/>
                <w:kern w:val="0"/>
                <w:sz w:val="20"/>
                <w:szCs w:val="20"/>
              </w:rPr>
            </w:pPr>
          </w:p>
        </w:tc>
        <w:tc>
          <w:tcPr>
            <w:tcW w:w="1680" w:type="dxa"/>
            <w:gridSpan w:val="2"/>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616"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r>
      <w:tr>
        <w:trPr>
          <w:trHeight w:val="308"/>
          <w:gridAfter w:val="2"/>
          <w:wAfter w:w="2200" w:type="dxa"/>
        </w:trPr>
        <w:tc>
          <w:tcPr>
            <w:tcW w:w="4429"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收     入</w:t>
            </w:r>
          </w:p>
        </w:tc>
        <w:tc>
          <w:tcPr>
            <w:tcW w:w="9719" w:type="dxa"/>
            <w:gridSpan w:val="11"/>
            <w:tcBorders>
              <w:top w:val="single" w:sz="4" w:space="0" w:color="000000"/>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支     出</w:t>
            </w:r>
          </w:p>
        </w:tc>
      </w:tr>
      <w:tr>
        <w:trPr>
          <w:trHeight w:val="1119"/>
          <w:gridAfter w:val="2"/>
          <w:wAfter w:w="2200" w:type="dxa"/>
        </w:trPr>
        <w:tc>
          <w:tcPr>
            <w:tcW w:w="2458" w:type="dxa"/>
            <w:tcBorders>
              <w:top w:val="nil"/>
              <w:left w:val="single" w:sz="4" w:space="0" w:color="000000"/>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w:t>
            </w:r>
          </w:p>
        </w:tc>
        <w:tc>
          <w:tcPr>
            <w:tcW w:w="436" w:type="dxa"/>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行次</w:t>
            </w:r>
          </w:p>
        </w:tc>
        <w:tc>
          <w:tcPr>
            <w:tcW w:w="1536" w:type="dxa"/>
            <w:gridSpan w:val="3"/>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金额</w:t>
            </w:r>
          </w:p>
        </w:tc>
        <w:tc>
          <w:tcPr>
            <w:tcW w:w="2826" w:type="dxa"/>
            <w:gridSpan w:val="2"/>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w:t>
            </w:r>
          </w:p>
        </w:tc>
        <w:tc>
          <w:tcPr>
            <w:tcW w:w="444" w:type="dxa"/>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行次</w:t>
            </w:r>
          </w:p>
        </w:tc>
        <w:tc>
          <w:tcPr>
            <w:tcW w:w="1559"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tcW w:w="1555" w:type="dxa"/>
            <w:gridSpan w:val="3"/>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一般公共预算财政拨款</w:t>
            </w:r>
          </w:p>
        </w:tc>
        <w:tc>
          <w:tcPr>
            <w:tcW w:w="1705" w:type="dxa"/>
            <w:gridSpan w:val="2"/>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政府性基金预算财政拨款</w:t>
            </w:r>
          </w:p>
        </w:tc>
        <w:tc>
          <w:tcPr>
            <w:tcW w:w="1631" w:type="dxa"/>
            <w:gridSpan w:val="2"/>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国有资本经营预算财政拨款</w:t>
            </w:r>
          </w:p>
        </w:tc>
      </w:tr>
      <w:tr>
        <w:trPr>
          <w:trHeight w:val="308"/>
          <w:gridAfter w:val="2"/>
          <w:wAfter w:w="2200"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栏次</w:t>
            </w:r>
          </w:p>
        </w:tc>
        <w:tc>
          <w:tcPr>
            <w:tcW w:w="436"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w:t>
            </w:r>
          </w:p>
        </w:tc>
        <w:tc>
          <w:tcPr>
            <w:tcW w:w="2826"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栏次</w:t>
            </w:r>
          </w:p>
        </w:tc>
        <w:tc>
          <w:tcPr>
            <w:tcW w:w="444"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559"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w:t>
            </w:r>
          </w:p>
        </w:tc>
        <w:tc>
          <w:tcPr>
            <w:tcW w:w="1705"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w:t>
            </w: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5</w:t>
            </w:r>
          </w:p>
        </w:tc>
      </w:tr>
      <w:tr>
        <w:trPr>
          <w:trHeight w:val="308"/>
          <w:gridAfter w:val="2"/>
          <w:wAfter w:w="2200"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一、一般公共预算财政拨款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2826"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一、一般公共服务支出</w:t>
            </w:r>
          </w:p>
        </w:tc>
        <w:tc>
          <w:tcPr>
            <w:tcW w:w="444"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color w:val="000000"/>
                <w:kern w:val="0"/>
                <w:sz w:val="22"/>
                <w:szCs w:val="22"/>
              </w:rPr>
              <w:t>4</w:t>
            </w:r>
          </w:p>
        </w:tc>
        <w:tc>
          <w:tcPr>
            <w:tcW w:w="1559"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1705"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right"/>
              <w:rPr>
                <w:rFonts w:ascii="方正仿宋_GBK" w:eastAsia="方正仿宋_GBK"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right"/>
              <w:rPr>
                <w:rFonts w:ascii="方正仿宋_GBK" w:eastAsia="方正仿宋_GBK" w:cs="Arial"/>
                <w:color w:val="000000"/>
                <w:kern w:val="0"/>
                <w:sz w:val="22"/>
                <w:szCs w:val="22"/>
              </w:rPr>
            </w:pPr>
          </w:p>
        </w:tc>
      </w:tr>
      <w:tr>
        <w:trPr>
          <w:trHeight w:val="308"/>
          <w:gridAfter w:val="2"/>
          <w:wAfter w:w="2200"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本年收入合计</w:t>
            </w:r>
          </w:p>
        </w:tc>
        <w:tc>
          <w:tcPr>
            <w:tcW w:w="436"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color w:val="000000"/>
                <w:kern w:val="0"/>
                <w:sz w:val="22"/>
                <w:szCs w:val="22"/>
              </w:rPr>
              <w:t>2</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2826"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本年支出合计</w:t>
            </w:r>
          </w:p>
        </w:tc>
        <w:tc>
          <w:tcPr>
            <w:tcW w:w="444"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5</w:t>
            </w:r>
          </w:p>
        </w:tc>
        <w:tc>
          <w:tcPr>
            <w:tcW w:w="1559"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1705"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left"/>
              <w:rPr>
                <w:rFonts w:ascii="方正仿宋_GBK" w:eastAsia="方正仿宋_GBK"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left"/>
              <w:rPr>
                <w:rFonts w:ascii="方正仿宋_GBK" w:eastAsia="方正仿宋_GBK" w:cs="Arial"/>
                <w:color w:val="000000"/>
                <w:kern w:val="0"/>
                <w:sz w:val="22"/>
                <w:szCs w:val="22"/>
              </w:rPr>
            </w:pPr>
          </w:p>
        </w:tc>
      </w:tr>
      <w:tr>
        <w:trPr>
          <w:trHeight w:val="308"/>
          <w:gridAfter w:val="2"/>
          <w:wAfter w:w="2200"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总计</w:t>
            </w:r>
          </w:p>
        </w:tc>
        <w:tc>
          <w:tcPr>
            <w:tcW w:w="436" w:type="dxa"/>
            <w:tcBorders>
              <w:top w:val="nil"/>
              <w:left w:val="nil"/>
              <w:bottom w:val="single" w:sz="8" w:space="0" w:color="000000"/>
              <w:right w:val="single" w:sz="4" w:space="0" w:color="000000"/>
            </w:tcBorders>
            <w:shd w:val="clear" w:color="auto" w:fill="FFFFFF"/>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color w:val="000000"/>
                <w:kern w:val="0"/>
                <w:sz w:val="22"/>
                <w:szCs w:val="22"/>
              </w:rPr>
              <w:t>3</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2826"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总计</w:t>
            </w:r>
          </w:p>
        </w:tc>
        <w:tc>
          <w:tcPr>
            <w:tcW w:w="444"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color w:val="000000"/>
                <w:kern w:val="0"/>
                <w:sz w:val="22"/>
                <w:szCs w:val="22"/>
              </w:rPr>
              <w:t>6</w:t>
            </w:r>
          </w:p>
        </w:tc>
        <w:tc>
          <w:tcPr>
            <w:tcW w:w="1559"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1705"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left"/>
              <w:rPr>
                <w:rFonts w:ascii="方正仿宋_GBK" w:eastAsia="方正仿宋_GBK"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left"/>
              <w:rPr>
                <w:rFonts w:ascii="方正仿宋_GBK" w:eastAsia="方正仿宋_GBK" w:cs="Arial"/>
                <w:color w:val="000000"/>
                <w:kern w:val="0"/>
                <w:sz w:val="22"/>
                <w:szCs w:val="22"/>
              </w:rPr>
            </w:pPr>
          </w:p>
        </w:tc>
      </w:tr>
      <w:tr>
        <w:trPr>
          <w:trHeight w:val="308"/>
          <w:gridAfter w:val="2"/>
          <w:wAfter w:w="2200" w:type="dxa"/>
        </w:trPr>
        <w:tc>
          <w:tcPr>
            <w:tcW w:w="14149" w:type="dxa"/>
            <w:gridSpan w:val="16"/>
            <w:tcBorders>
              <w:top w:val="nil"/>
              <w:left w:val="nil"/>
              <w:bottom w:val="nil"/>
              <w:right w:val="nil"/>
            </w:tcBorders>
            <w:shd w:val="clear" w:color="auto" w:fill="auto"/>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注：本表反映部门本年度一般公共预算财政拨款、政府性基金预算财政拨款和国有资本经营预算财政拨款的总收支和年末结转结余情况。</w:t>
            </w:r>
          </w:p>
        </w:tc>
      </w:tr>
    </w:tbl>
    <w:p>
      <w:pPr>
        <w:spacing w:line="560" w:lineRule="exact"/>
        <w:sectPr>
          <w:pgSz w:w="16840" w:h="11907" w:orient="landscape"/>
          <w:pgMar w:top="1134" w:right="1440" w:bottom="1134" w:left="1440" w:header="851" w:footer="992" w:gutter="0"/>
          <w:docGrid w:linePitch="312" w:charSpace="0"/>
        </w:sectPr>
      </w:pPr>
    </w:p>
    <w:p/>
    <w:tbl>
      <w:tblPr>
        <w:jc w:val="left"/>
        <w:tblW w:w="5000"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2159"/>
        <w:gridCol w:w="322"/>
        <w:gridCol w:w="322"/>
        <w:gridCol w:w="5099"/>
        <w:gridCol w:w="2065"/>
        <w:gridCol w:w="2071"/>
        <w:gridCol w:w="2138"/>
      </w:tblGrid>
      <w:tr>
        <w:trPr>
          <w:trHeight w:val="555"/>
        </w:trPr>
        <w:tc>
          <w:tcPr>
            <w:tcW w:w="14175" w:type="dxa"/>
            <w:gridSpan w:val="7"/>
            <w:tcBorders>
              <w:top w:val="nil"/>
              <w:left w:val="nil"/>
              <w:bottom w:val="nil"/>
              <w:right w:val="nil"/>
            </w:tcBorders>
            <w:noWrap/>
            <w:vAlign w:val="bottom"/>
          </w:tcPr>
          <w:p>
            <w:pPr>
              <w:widowControl/>
              <w:spacing w:line="560" w:lineRule="exact"/>
              <w:jc w:val="center"/>
              <w:rPr>
                <w:rFonts w:ascii="方正仿宋_GBK" w:eastAsia="方正仿宋_GBK" w:cs="Arial"/>
                <w:color w:val="000000"/>
                <w:kern w:val="0"/>
                <w:sz w:val="30"/>
                <w:szCs w:val="30"/>
              </w:rPr>
            </w:pPr>
            <w:r>
              <w:rPr>
                <w:rFonts w:ascii="方正仿宋_GBK" w:eastAsia="方正仿宋_GBK" w:cs="Arial" w:hint="eastAsia"/>
                <w:color w:val="000000"/>
                <w:kern w:val="0"/>
                <w:sz w:val="30"/>
                <w:szCs w:val="30"/>
              </w:rPr>
              <w:t>一般公共预算财政拨款支出决算表</w:t>
            </w:r>
          </w:p>
        </w:tc>
      </w:tr>
      <w:tr>
        <w:trPr>
          <w:trHeight w:val="255"/>
        </w:trPr>
        <w:tc>
          <w:tcPr>
            <w:tcW w:w="2159"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322"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322"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5099"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065"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071"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138" w:type="dxa"/>
            <w:tcBorders>
              <w:top w:val="nil"/>
              <w:left w:val="nil"/>
              <w:bottom w:val="nil"/>
              <w:right w:val="nil"/>
            </w:tcBorders>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公开05表</w:t>
            </w:r>
          </w:p>
        </w:tc>
      </w:tr>
      <w:tr>
        <w:trPr>
          <w:trHeight w:val="255"/>
        </w:trPr>
        <w:tc>
          <w:tcPr>
            <w:tcW w:w="2159" w:type="dxa"/>
            <w:tcBorders>
              <w:top w:val="nil"/>
              <w:left w:val="nil"/>
              <w:bottom w:val="nil"/>
              <w:right w:val="nil"/>
            </w:tcBorders>
            <w:noWrap/>
            <w:vAlign w:val="bottom"/>
          </w:tcPr>
          <w:p>
            <w:pPr>
              <w:widowControl/>
              <w:spacing w:line="560" w:lineRule="exact"/>
              <w:jc w:val="left"/>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单位：</w:t>
            </w:r>
            <w:r>
              <w:rPr>
                <w:rFonts w:ascii="方正仿宋_GBK" w:eastAsia="方正仿宋_GBK" w:cs="Arial"/>
                <w:color w:val="000000"/>
                <w:kern w:val="0"/>
                <w:sz w:val="20"/>
                <w:szCs w:val="20"/>
              </w:rPr>
              <w:t>涪陵海关</w:t>
            </w:r>
          </w:p>
        </w:tc>
        <w:tc>
          <w:tcPr>
            <w:tcW w:w="322"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322"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5099"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065"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071"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138" w:type="dxa"/>
            <w:tcBorders>
              <w:top w:val="nil"/>
              <w:left w:val="nil"/>
              <w:bottom w:val="nil"/>
              <w:right w:val="nil"/>
            </w:tcBorders>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金额单位：万元</w:t>
            </w:r>
          </w:p>
        </w:tc>
      </w:tr>
      <w:tr>
        <w:trPr>
          <w:trHeight w:val="321"/>
        </w:trPr>
        <w:tc>
          <w:tcPr>
            <w:tcW w:w="7902" w:type="dxa"/>
            <w:gridSpan w:val="4"/>
            <w:tcBorders>
              <w:top w:val="single" w:sz="6" w:space="0" w:color="000000"/>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w:t>
            </w:r>
          </w:p>
        </w:tc>
        <w:tc>
          <w:tcPr>
            <w:tcW w:w="6274" w:type="dxa"/>
            <w:gridSpan w:val="3"/>
            <w:tcBorders>
              <w:top w:val="single" w:sz="6" w:space="0" w:color="000000"/>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本年支出</w:t>
            </w:r>
          </w:p>
        </w:tc>
      </w:tr>
      <w:tr>
        <w:trPr>
          <w:trHeight w:val="560"/>
        </w:trPr>
        <w:tc>
          <w:tcPr>
            <w:tcW w:w="2803" w:type="dxa"/>
            <w:gridSpan w:val="3"/>
            <w:vMerge w:val="restart"/>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Cs w:val="22"/>
              </w:rPr>
            </w:pPr>
            <w:r>
              <w:rPr>
                <w:rFonts w:ascii="方正仿宋_GBK" w:eastAsia="方正仿宋_GBK" w:cs="Arial" w:hint="eastAsia"/>
                <w:color w:val="000000"/>
                <w:kern w:val="0"/>
                <w:szCs w:val="22"/>
              </w:rPr>
              <w:t>功能分类科目编码</w:t>
            </w:r>
          </w:p>
        </w:tc>
        <w:tc>
          <w:tcPr>
            <w:tcW w:w="5099" w:type="dxa"/>
            <w:vMerge w:val="restart"/>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Cs w:val="22"/>
              </w:rPr>
            </w:pPr>
            <w:r>
              <w:rPr>
                <w:rFonts w:ascii="方正仿宋_GBK" w:eastAsia="方正仿宋_GBK" w:cs="Arial" w:hint="eastAsia"/>
                <w:color w:val="000000"/>
                <w:kern w:val="0"/>
                <w:szCs w:val="22"/>
              </w:rPr>
              <w:t>科目名称</w:t>
            </w:r>
          </w:p>
        </w:tc>
        <w:tc>
          <w:tcPr>
            <w:tcW w:w="2065" w:type="dxa"/>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Cs w:val="22"/>
              </w:rPr>
            </w:pPr>
            <w:r>
              <w:rPr>
                <w:rFonts w:ascii="方正仿宋_GBK" w:eastAsia="方正仿宋_GBK" w:cs="Arial" w:hint="eastAsia"/>
                <w:color w:val="000000"/>
                <w:kern w:val="0"/>
                <w:szCs w:val="22"/>
              </w:rPr>
              <w:t>小计</w:t>
            </w:r>
          </w:p>
        </w:tc>
        <w:tc>
          <w:tcPr>
            <w:tcW w:w="2071" w:type="dxa"/>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Cs w:val="22"/>
              </w:rPr>
            </w:pPr>
            <w:r>
              <w:rPr>
                <w:rFonts w:ascii="方正仿宋_GBK" w:eastAsia="方正仿宋_GBK" w:cs="Arial" w:hint="eastAsia"/>
                <w:color w:val="000000"/>
                <w:kern w:val="0"/>
                <w:szCs w:val="22"/>
              </w:rPr>
              <w:t>基本支出</w:t>
            </w:r>
          </w:p>
        </w:tc>
        <w:tc>
          <w:tcPr>
            <w:tcW w:w="2138" w:type="dxa"/>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Cs w:val="22"/>
              </w:rPr>
            </w:pPr>
            <w:r>
              <w:rPr>
                <w:rFonts w:ascii="方正仿宋_GBK" w:eastAsia="方正仿宋_GBK" w:cs="Arial" w:hint="eastAsia"/>
                <w:color w:val="000000"/>
                <w:kern w:val="0"/>
                <w:szCs w:val="22"/>
              </w:rPr>
              <w:t>项目支出</w:t>
            </w:r>
          </w:p>
        </w:tc>
      </w:tr>
      <w:tr>
        <w:trPr>
          <w:trHeight w:val="560"/>
        </w:trPr>
        <w:tc>
          <w:tcPr>
            <w:tcW w:w="2700" w:type="dxa"/>
            <w:gridSpan w:val="3"/>
            <w:vMerge/>
            <w:tcBorders>
              <w:top w:val="nil"/>
              <w:left w:val="single" w:sz="6" w:space="0" w:color="000000"/>
              <w:bottom w:val="single" w:sz="6" w:space="0" w:color="000000"/>
              <w:right w:val="single" w:sz="6" w:space="0" w:color="000000"/>
            </w:tcBorders>
            <w:vAlign w:val="center"/>
          </w:tcPr>
          <w:p/>
        </w:tc>
        <w:tc>
          <w:tcPr>
            <w:tcW w:w="4911" w:type="dxa"/>
            <w:vMerge/>
            <w:tcBorders>
              <w:top w:val="nil"/>
              <w:left w:val="nil"/>
              <w:bottom w:val="single" w:sz="6" w:space="0" w:color="000000"/>
              <w:right w:val="single" w:sz="6" w:space="0" w:color="000000"/>
            </w:tcBorders>
            <w:vAlign w:val="center"/>
          </w:tcPr>
          <w:p/>
        </w:tc>
        <w:tc>
          <w:tcPr>
            <w:tcW w:w="1989" w:type="dxa"/>
            <w:vMerge/>
            <w:tcBorders>
              <w:top w:val="nil"/>
              <w:left w:val="nil"/>
              <w:bottom w:val="single" w:sz="6" w:space="0" w:color="000000"/>
              <w:right w:val="single" w:sz="6" w:space="0" w:color="000000"/>
            </w:tcBorders>
            <w:vAlign w:val="center"/>
          </w:tcPr>
          <w:p/>
        </w:tc>
        <w:tc>
          <w:tcPr>
            <w:tcW w:w="1995" w:type="dxa"/>
            <w:vMerge/>
            <w:tcBorders>
              <w:top w:val="nil"/>
              <w:left w:val="nil"/>
              <w:bottom w:val="single" w:sz="6" w:space="0" w:color="000000"/>
              <w:right w:val="single" w:sz="6" w:space="0" w:color="000000"/>
            </w:tcBorders>
            <w:vAlign w:val="center"/>
          </w:tcPr>
          <w:p/>
        </w:tc>
        <w:tc>
          <w:tcPr>
            <w:tcW w:w="2059" w:type="dxa"/>
            <w:vMerge/>
            <w:tcBorders>
              <w:top w:val="nil"/>
              <w:left w:val="nil"/>
              <w:bottom w:val="single" w:sz="6" w:space="0" w:color="000000"/>
              <w:right w:val="single" w:sz="6" w:space="0" w:color="000000"/>
            </w:tcBorders>
            <w:vAlign w:val="center"/>
          </w:tcPr>
          <w:p/>
        </w:tc>
      </w:tr>
      <w:tr>
        <w:trPr>
          <w:trHeight w:val="315"/>
        </w:trPr>
        <w:tc>
          <w:tcPr>
            <w:tcW w:w="7902" w:type="dxa"/>
            <w:gridSpan w:val="4"/>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栏次</w:t>
            </w:r>
          </w:p>
        </w:tc>
        <w:tc>
          <w:tcPr>
            <w:tcW w:w="206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w:t>
            </w:r>
          </w:p>
        </w:tc>
        <w:tc>
          <w:tcPr>
            <w:tcW w:w="207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w:t>
            </w:r>
          </w:p>
        </w:tc>
        <w:tc>
          <w:tcPr>
            <w:tcW w:w="213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w:t>
            </w:r>
          </w:p>
        </w:tc>
      </w:tr>
      <w:tr>
        <w:trPr>
          <w:trHeight w:val="315"/>
        </w:trPr>
        <w:tc>
          <w:tcPr>
            <w:tcW w:w="7902" w:type="dxa"/>
            <w:gridSpan w:val="4"/>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tcW w:w="206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207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365.60</w:t>
            </w:r>
          </w:p>
        </w:tc>
        <w:tc>
          <w:tcPr>
            <w:tcW w:w="213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76.00</w:t>
            </w:r>
          </w:p>
        </w:tc>
      </w:tr>
      <w:tr>
        <w:trPr>
          <w:trHeight w:val="315"/>
        </w:trPr>
        <w:tc>
          <w:tcPr>
            <w:tcW w:w="2803"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w:t>
            </w:r>
          </w:p>
        </w:tc>
        <w:tc>
          <w:tcPr>
            <w:tcW w:w="5099"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一般公共服务支出</w:t>
            </w:r>
          </w:p>
        </w:tc>
        <w:tc>
          <w:tcPr>
            <w:tcW w:w="206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207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365.60</w:t>
            </w:r>
          </w:p>
        </w:tc>
        <w:tc>
          <w:tcPr>
            <w:tcW w:w="213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r>
      <w:tr>
        <w:trPr>
          <w:trHeight w:val="315"/>
        </w:trPr>
        <w:tc>
          <w:tcPr>
            <w:tcW w:w="2803"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w:t>
            </w:r>
          </w:p>
        </w:tc>
        <w:tc>
          <w:tcPr>
            <w:tcW w:w="5099"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海关事务</w:t>
            </w:r>
          </w:p>
        </w:tc>
        <w:tc>
          <w:tcPr>
            <w:tcW w:w="206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441.60</w:t>
            </w:r>
          </w:p>
        </w:tc>
        <w:tc>
          <w:tcPr>
            <w:tcW w:w="207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365.60</w:t>
            </w:r>
          </w:p>
        </w:tc>
        <w:tc>
          <w:tcPr>
            <w:tcW w:w="213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r>
      <w:tr>
        <w:trPr>
          <w:trHeight w:val="315"/>
        </w:trPr>
        <w:tc>
          <w:tcPr>
            <w:tcW w:w="2803"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2010901</w:t>
            </w:r>
          </w:p>
        </w:tc>
        <w:tc>
          <w:tcPr>
            <w:tcW w:w="5099"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行政运行</w:t>
            </w:r>
          </w:p>
        </w:tc>
        <w:tc>
          <w:tcPr>
            <w:tcW w:w="206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365.60</w:t>
            </w:r>
          </w:p>
        </w:tc>
        <w:tc>
          <w:tcPr>
            <w:tcW w:w="207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365.60</w:t>
            </w:r>
          </w:p>
        </w:tc>
        <w:tc>
          <w:tcPr>
            <w:tcW w:w="213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r>
      <w:tr>
        <w:trPr>
          <w:trHeight w:val="315"/>
        </w:trPr>
        <w:tc>
          <w:tcPr>
            <w:tcW w:w="2803"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2010909</w:t>
            </w:r>
          </w:p>
        </w:tc>
        <w:tc>
          <w:tcPr>
            <w:tcW w:w="5099"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海关关务</w:t>
            </w:r>
          </w:p>
        </w:tc>
        <w:tc>
          <w:tcPr>
            <w:tcW w:w="206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71.00</w:t>
            </w:r>
          </w:p>
        </w:tc>
        <w:tc>
          <w:tcPr>
            <w:tcW w:w="207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213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71.00</w:t>
            </w:r>
          </w:p>
        </w:tc>
      </w:tr>
      <w:tr>
        <w:trPr>
          <w:trHeight w:val="315"/>
        </w:trPr>
        <w:tc>
          <w:tcPr>
            <w:tcW w:w="2803"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2010911</w:t>
            </w:r>
          </w:p>
        </w:tc>
        <w:tc>
          <w:tcPr>
            <w:tcW w:w="5099"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海关监管</w:t>
            </w:r>
          </w:p>
        </w:tc>
        <w:tc>
          <w:tcPr>
            <w:tcW w:w="206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3.00</w:t>
            </w:r>
          </w:p>
        </w:tc>
        <w:tc>
          <w:tcPr>
            <w:tcW w:w="207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213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3.00</w:t>
            </w:r>
          </w:p>
        </w:tc>
      </w:tr>
      <w:tr>
        <w:trPr>
          <w:trHeight w:val="315"/>
        </w:trPr>
        <w:tc>
          <w:tcPr>
            <w:tcW w:w="2803"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2010912</w:t>
            </w:r>
          </w:p>
        </w:tc>
        <w:tc>
          <w:tcPr>
            <w:tcW w:w="5099"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检验检疫</w:t>
            </w:r>
          </w:p>
        </w:tc>
        <w:tc>
          <w:tcPr>
            <w:tcW w:w="206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2.00</w:t>
            </w:r>
          </w:p>
        </w:tc>
        <w:tc>
          <w:tcPr>
            <w:tcW w:w="207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213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2.00</w:t>
            </w:r>
          </w:p>
        </w:tc>
      </w:tr>
      <w:tr>
        <w:trPr>
          <w:trHeight w:val="315"/>
        </w:trPr>
        <w:tc>
          <w:tcPr>
            <w:tcW w:w="14175" w:type="dxa"/>
            <w:gridSpan w:val="7"/>
            <w:tcBorders>
              <w:top w:val="nil"/>
              <w:left w:val="nil"/>
              <w:bottom w:val="nil"/>
              <w:right w:val="nil"/>
            </w:tcBorders>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注：本表反映部门本年度一般公共预算财政拨款支出情况。</w:t>
            </w:r>
          </w:p>
          <w:p>
            <w:pPr>
              <w:widowControl/>
              <w:spacing w:line="560" w:lineRule="exact"/>
              <w:jc w:val="left"/>
              <w:rPr>
                <w:rFonts w:ascii="方正仿宋_GBK" w:eastAsia="方正仿宋_GBK" w:cs="Arial"/>
                <w:color w:val="000000"/>
                <w:kern w:val="0"/>
                <w:sz w:val="22"/>
                <w:szCs w:val="22"/>
              </w:rPr>
            </w:pPr>
          </w:p>
        </w:tc>
      </w:tr>
    </w:tbl>
    <w:p>
      <w:r>
        <w:rPr>
          <w:rFonts w:ascii="方正仿宋_GBK" w:eastAsia="方正仿宋_GBK" w:cs="Arial"/>
          <w:color w:val="000000"/>
          <w:kern w:val="0"/>
          <w:sz w:val="30"/>
          <w:szCs w:val="30"/>
        </w:rPr>
        <w:br w:type="page"/>
      </w:r>
    </w:p>
    <w:tbl>
      <w:tblPr>
        <w:jc w:val="left"/>
        <w:tblW w:w="5000"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790"/>
        <w:gridCol w:w="206"/>
        <w:gridCol w:w="1914"/>
        <w:gridCol w:w="2061"/>
        <w:gridCol w:w="1028"/>
        <w:gridCol w:w="95"/>
        <w:gridCol w:w="1572"/>
        <w:gridCol w:w="2070"/>
        <w:gridCol w:w="789"/>
        <w:gridCol w:w="183"/>
        <w:gridCol w:w="2156"/>
        <w:gridCol w:w="1312"/>
      </w:tblGrid>
      <w:tr>
        <w:trPr>
          <w:trHeight w:val="690"/>
        </w:trPr>
        <w:tc>
          <w:tcPr>
            <w:tcW w:w="14176" w:type="dxa"/>
            <w:gridSpan w:val="12"/>
            <w:tcBorders>
              <w:top w:val="nil"/>
              <w:left w:val="nil"/>
              <w:bottom w:val="nil"/>
              <w:right w:val="nil"/>
            </w:tcBorders>
            <w:noWrap/>
            <w:vAlign w:val="bottom"/>
          </w:tcPr>
          <w:p>
            <w:pPr>
              <w:widowControl/>
              <w:spacing w:line="560" w:lineRule="exact"/>
              <w:jc w:val="center"/>
              <w:rPr>
                <w:rFonts w:ascii="方正仿宋_GBK" w:eastAsia="方正仿宋_GBK" w:cs="Arial"/>
                <w:color w:val="000000"/>
                <w:kern w:val="0"/>
                <w:sz w:val="30"/>
                <w:szCs w:val="30"/>
              </w:rPr>
            </w:pPr>
          </w:p>
          <w:p>
            <w:pPr>
              <w:widowControl/>
              <w:spacing w:line="560" w:lineRule="exact"/>
              <w:jc w:val="center"/>
              <w:rPr>
                <w:rFonts w:ascii="方正仿宋_GBK" w:eastAsia="方正仿宋_GBK" w:cs="Arial"/>
                <w:color w:val="000000"/>
                <w:kern w:val="0"/>
                <w:sz w:val="30"/>
                <w:szCs w:val="30"/>
              </w:rPr>
            </w:pPr>
            <w:r>
              <w:rPr>
                <w:rFonts w:ascii="方正仿宋_GBK" w:eastAsia="方正仿宋_GBK" w:cs="Arial" w:hint="eastAsia"/>
                <w:color w:val="000000"/>
                <w:kern w:val="0"/>
                <w:sz w:val="30"/>
                <w:szCs w:val="30"/>
              </w:rPr>
              <w:t>一般公共预算财政拨款基本支出决算表</w:t>
            </w:r>
          </w:p>
        </w:tc>
      </w:tr>
      <w:tr>
        <w:trPr>
          <w:trHeight w:val="255"/>
        </w:trPr>
        <w:tc>
          <w:tcPr>
            <w:tcW w:w="790"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120" w:type="dxa"/>
            <w:gridSpan w:val="2"/>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061"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1123" w:type="dxa"/>
            <w:gridSpan w:val="2"/>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1572"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070"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789"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339" w:type="dxa"/>
            <w:gridSpan w:val="2"/>
            <w:tcBorders>
              <w:top w:val="nil"/>
              <w:left w:val="nil"/>
              <w:bottom w:val="nil"/>
              <w:right w:val="nil"/>
            </w:tcBorders>
            <w:noWrap/>
            <w:vAlign w:val="bottom"/>
          </w:tcPr>
          <w:p>
            <w:pPr>
              <w:widowControl/>
              <w:spacing w:line="560" w:lineRule="exact"/>
              <w:jc w:val="right"/>
              <w:rPr>
                <w:rFonts w:ascii="方正仿宋_GBK" w:eastAsia="方正仿宋_GBK" w:cs="Arial"/>
                <w:color w:val="000000"/>
                <w:kern w:val="0"/>
                <w:szCs w:val="21"/>
              </w:rPr>
            </w:pPr>
          </w:p>
        </w:tc>
        <w:tc>
          <w:tcPr>
            <w:tcW w:w="1311" w:type="dxa"/>
            <w:tcBorders>
              <w:top w:val="nil"/>
              <w:left w:val="nil"/>
              <w:bottom w:val="nil"/>
              <w:right w:val="nil"/>
            </w:tcBorders>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公开06表</w:t>
            </w:r>
          </w:p>
        </w:tc>
      </w:tr>
      <w:tr>
        <w:trPr>
          <w:trHeight w:val="255"/>
        </w:trPr>
        <w:tc>
          <w:tcPr>
            <w:tcW w:w="2910" w:type="dxa"/>
            <w:gridSpan w:val="3"/>
            <w:tcBorders>
              <w:top w:val="nil"/>
              <w:left w:val="nil"/>
              <w:bottom w:val="single" w:sz="6" w:space="0" w:color="000000"/>
              <w:right w:val="nil"/>
            </w:tcBorders>
            <w:noWrap/>
            <w:vAlign w:val="bottom"/>
          </w:tcPr>
          <w:p>
            <w:pPr>
              <w:widowControl/>
              <w:spacing w:line="560" w:lineRule="exact"/>
              <w:jc w:val="left"/>
              <w:rPr>
                <w:rFonts w:ascii="宋体" w:cs="Arial"/>
                <w:color w:val="000000"/>
                <w:kern w:val="0"/>
                <w:sz w:val="20"/>
                <w:szCs w:val="20"/>
              </w:rPr>
            </w:pPr>
            <w:r>
              <w:rPr>
                <w:rFonts w:ascii="方正仿宋_GBK" w:eastAsia="方正仿宋_GBK" w:cs="Arial" w:hint="eastAsia"/>
                <w:color w:val="000000"/>
                <w:kern w:val="0"/>
                <w:sz w:val="20"/>
                <w:szCs w:val="20"/>
              </w:rPr>
              <w:t>单位：</w:t>
            </w:r>
            <w:r>
              <w:rPr>
                <w:rFonts w:ascii="方正仿宋_GBK" w:eastAsia="方正仿宋_GBK" w:cs="Arial"/>
                <w:color w:val="000000"/>
                <w:kern w:val="0"/>
                <w:sz w:val="20"/>
                <w:szCs w:val="20"/>
              </w:rPr>
              <w:t>涪陵海关</w:t>
            </w:r>
          </w:p>
        </w:tc>
        <w:tc>
          <w:tcPr>
            <w:tcW w:w="2061"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1123" w:type="dxa"/>
            <w:gridSpan w:val="2"/>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1572"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070"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789"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3650" w:type="dxa"/>
            <w:gridSpan w:val="3"/>
            <w:tcBorders>
              <w:top w:val="nil"/>
              <w:left w:val="nil"/>
              <w:bottom w:val="single" w:sz="6" w:space="0" w:color="000000"/>
              <w:right w:val="nil"/>
            </w:tcBorders>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金额单位：万元</w:t>
            </w:r>
          </w:p>
        </w:tc>
      </w:tr>
      <w:tr>
        <w:trPr>
          <w:trHeight w:val="315"/>
        </w:trPr>
        <w:tc>
          <w:tcPr>
            <w:tcW w:w="4971" w:type="dxa"/>
            <w:gridSpan w:val="4"/>
            <w:tcBorders>
              <w:top w:val="single" w:sz="6" w:space="0" w:color="000000"/>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人员经费</w:t>
            </w:r>
          </w:p>
        </w:tc>
        <w:tc>
          <w:tcPr>
            <w:tcW w:w="9205" w:type="dxa"/>
            <w:gridSpan w:val="8"/>
            <w:tcBorders>
              <w:top w:val="single" w:sz="6" w:space="0" w:color="000000"/>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公用经费</w:t>
            </w:r>
          </w:p>
        </w:tc>
      </w:tr>
      <w:tr>
        <w:trPr>
          <w:trHeight w:val="1119"/>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科目编码</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科目名称</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决算数</w:t>
            </w: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科目编码</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科目名称</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决算数</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科目编码</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科目名称</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决算数</w:t>
            </w: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工资福利支出</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296.26</w:t>
            </w: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商品和服务支出</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68.78</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307</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债务利息及费用支出</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30101</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基本工资</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126.60</w:t>
            </w: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30201</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办公费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3.78</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30701</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国内债务付息</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666"/>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30102</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津贴补贴</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159.72</w:t>
            </w: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30202</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印刷费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30702</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国外债务付息</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30103</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奖金</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9.94</w:t>
            </w: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30203</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咨询费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资本性支出</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0.56</w:t>
            </w:r>
          </w:p>
        </w:tc>
      </w:tr>
      <w:tr>
        <w:trPr>
          <w:trHeight w:val="776"/>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30106</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伙食补助费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30204</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手续费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31001</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房屋建筑物购建</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30107</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绩效工资</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30205</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水费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0.40</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31002</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办公设备购置</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0.56</w:t>
            </w:r>
          </w:p>
        </w:tc>
      </w:tr>
      <w:tr>
        <w:trPr>
          <w:trHeight w:val="765"/>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30108</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机关事业单位基本养老保险缴费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30206</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电费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1.46</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31003</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专用设备购置</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30109</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职业年金缴费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30207</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邮电费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5.13</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31005</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基础设施建设</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30110</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职工基本医疗保险缴费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30208</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取暖费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31006</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大型修缮</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765"/>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30111</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公务员医疗补助缴费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30209</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物业管理费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31007</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信息网络及软件购置更新</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30112</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其他社会保障缴费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30211</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差旅费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10.40</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31008</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物资储备</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30113</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住房公积金</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30212</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因公出国（境）费用</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31009</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土地补偿</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30114</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医疗费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30213</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维修（护）费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31010</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安置补助</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765"/>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30199</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其他工资福利支出</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30214</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租赁费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31011</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地上附着物和青苗补偿</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对个人和家庭的补助</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30215</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会议费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31012</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拆迁补偿</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30301</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离休费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30216</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培训费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31013</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公务用车购置</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30302</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退休费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30217</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公务接待费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31019</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其他交通工具购置</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30303</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退职（役）费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30218</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专用材料费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1.96</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31021</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文物和陈列品购置</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30304</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抚恤金</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30224</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被装购置费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31022</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无形资产购置</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30305</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生活补助</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30225</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专用燃料费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31099</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其他资本性支出</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30306</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救济费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30226</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劳务费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399</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其他支出</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789"/>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30307</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医疗费补助</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30227</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委托业务费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0.47</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39906</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赠与</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30308</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助学金</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30228</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工会经费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8.37</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39907</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国家赔偿费用支出</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1005"/>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30309</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奖励金</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30229</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福利费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6.63</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39908</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对民间非营利组织和群众性自治组织补贴</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765"/>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30310</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个人农业生产补贴</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30231</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公务用车运行维护费</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39999</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其他支出</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765"/>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30311</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代缴社会保险费</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30239</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其他交通费用</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27.12</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510"/>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30399　</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其他对个人和家庭的补助　</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30240</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税金及附加费用</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765"/>
        </w:trPr>
        <w:tc>
          <w:tcPr>
            <w:tcW w:w="996" w:type="dxa"/>
            <w:gridSpan w:val="2"/>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914"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c>
          <w:tcPr>
            <w:tcW w:w="1028"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30299</w:t>
            </w:r>
          </w:p>
        </w:tc>
        <w:tc>
          <w:tcPr>
            <w:tcW w:w="1667"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其他商品和服务支出</w:t>
            </w:r>
          </w:p>
        </w:tc>
        <w:tc>
          <w:tcPr>
            <w:tcW w:w="2070"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3.07</w:t>
            </w:r>
          </w:p>
        </w:tc>
        <w:tc>
          <w:tcPr>
            <w:tcW w:w="972" w:type="dxa"/>
            <w:gridSpan w:val="2"/>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2156"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p>
        </w:tc>
      </w:tr>
      <w:tr>
        <w:trPr>
          <w:trHeight w:val="255"/>
        </w:trPr>
        <w:tc>
          <w:tcPr>
            <w:tcW w:w="2910" w:type="dxa"/>
            <w:gridSpan w:val="3"/>
            <w:tcBorders>
              <w:top w:val="nil"/>
              <w:left w:val="single" w:sz="6" w:space="0" w:color="000000"/>
              <w:bottom w:val="single" w:sz="6" w:space="0" w:color="000000"/>
              <w:right w:val="single" w:sz="6" w:space="0" w:color="000000"/>
            </w:tcBorders>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人员经费合计</w:t>
            </w:r>
          </w:p>
        </w:tc>
        <w:tc>
          <w:tcPr>
            <w:tcW w:w="206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296.26</w:t>
            </w:r>
          </w:p>
        </w:tc>
        <w:tc>
          <w:tcPr>
            <w:tcW w:w="7893" w:type="dxa"/>
            <w:gridSpan w:val="7"/>
            <w:tcBorders>
              <w:top w:val="nil"/>
              <w:left w:val="nil"/>
              <w:bottom w:val="single" w:sz="6" w:space="0" w:color="000000"/>
              <w:right w:val="single" w:sz="6" w:space="0" w:color="000000"/>
            </w:tcBorders>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公用经费合计</w:t>
            </w:r>
          </w:p>
        </w:tc>
        <w:tc>
          <w:tcPr>
            <w:tcW w:w="1311" w:type="dxa"/>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69.34</w:t>
            </w:r>
          </w:p>
        </w:tc>
      </w:tr>
      <w:tr>
        <w:trPr>
          <w:trHeight w:val="315"/>
        </w:trPr>
        <w:tc>
          <w:tcPr>
            <w:tcW w:w="14176" w:type="dxa"/>
            <w:gridSpan w:val="12"/>
            <w:tcBorders>
              <w:top w:val="nil"/>
              <w:left w:val="nil"/>
              <w:bottom w:val="nil"/>
              <w:right w:val="nil"/>
            </w:tcBorders>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注：本表反映部门本年度一般公共预算财政拨款基本支出明细情况。</w:t>
            </w:r>
          </w:p>
        </w:tc>
      </w:tr>
    </w:tbl>
    <w:p>
      <w:pPr>
        <w:spacing w:line="560" w:lineRule="exact"/>
      </w:pPr>
    </w:p>
    <w:p>
      <w:pPr>
        <w:spacing w:line="560" w:lineRule="exact"/>
      </w:pPr>
      <w:r>
        <w:br w:type="page"/>
      </w:r>
    </w:p>
    <w:tbl>
      <w:tblPr>
        <w:jc w:val="left"/>
        <w:tblInd w:w="93"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114"/>
        <w:gridCol w:w="1332"/>
        <w:gridCol w:w="1114"/>
        <w:gridCol w:w="1183"/>
        <w:gridCol w:w="1183"/>
        <w:gridCol w:w="1114"/>
        <w:gridCol w:w="1114"/>
        <w:gridCol w:w="1332"/>
        <w:gridCol w:w="1114"/>
        <w:gridCol w:w="1183"/>
        <w:gridCol w:w="1183"/>
        <w:gridCol w:w="1114"/>
      </w:tblGrid>
      <w:tr>
        <w:trPr>
          <w:trHeight w:val="510"/>
        </w:trPr>
        <w:tc>
          <w:tcPr>
            <w:gridSpan w:val="12"/>
            <w:tcBorders>
              <w:top w:val="nil"/>
              <w:left w:val="nil"/>
              <w:bottom w:val="nil"/>
              <w:right w:val="nil"/>
            </w:tcBorders>
            <w:noWrap/>
            <w:vAlign w:val="bottom"/>
          </w:tcPr>
          <w:p>
            <w:pPr>
              <w:widowControl/>
              <w:spacing w:line="560" w:lineRule="exact"/>
              <w:jc w:val="center"/>
              <w:rPr>
                <w:rFonts w:ascii="方正仿宋_GBK" w:eastAsia="方正仿宋_GBK" w:cs="Arial"/>
                <w:color w:val="000000"/>
                <w:kern w:val="0"/>
                <w:sz w:val="30"/>
                <w:szCs w:val="30"/>
              </w:rPr>
            </w:pPr>
            <w:r>
              <w:rPr>
                <w:rFonts w:ascii="方正仿宋_GBK" w:eastAsia="方正仿宋_GBK" w:cs="Arial" w:hint="eastAsia"/>
                <w:color w:val="000000"/>
                <w:kern w:val="0"/>
                <w:sz w:val="30"/>
                <w:szCs w:val="30"/>
              </w:rPr>
              <w:t>一般公共预算财政拨款“三公”经费支出决算表</w:t>
            </w:r>
          </w:p>
        </w:tc>
      </w:tr>
      <w:tr>
        <w:trPr>
          <w:trHeight w:val="255"/>
        </w:trPr>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gridSpan w:val="2"/>
            <w:tcBorders>
              <w:top w:val="nil"/>
              <w:left w:val="nil"/>
              <w:bottom w:val="nil"/>
              <w:right w:val="nil"/>
            </w:tcBorders>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公开07表</w:t>
            </w:r>
          </w:p>
        </w:tc>
      </w:tr>
      <w:tr>
        <w:trPr>
          <w:trHeight w:val="255"/>
        </w:trPr>
        <w:tc>
          <w:tcPr>
            <w:gridSpan w:val="2"/>
            <w:tcBorders>
              <w:top w:val="nil"/>
              <w:left w:val="nil"/>
              <w:bottom w:val="single" w:sz="6" w:space="0" w:color="000000"/>
              <w:right w:val="nil"/>
            </w:tcBorders>
            <w:noWrap/>
            <w:vAlign w:val="bottom"/>
          </w:tcPr>
          <w:p>
            <w:pPr>
              <w:widowControl/>
              <w:spacing w:line="560" w:lineRule="exact"/>
              <w:jc w:val="left"/>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单位：</w:t>
            </w:r>
            <w:r>
              <w:rPr>
                <w:rFonts w:ascii="方正仿宋_GBK" w:eastAsia="方正仿宋_GBK" w:cs="Arial"/>
                <w:color w:val="000000"/>
                <w:kern w:val="0"/>
                <w:sz w:val="20"/>
                <w:szCs w:val="20"/>
              </w:rPr>
              <w:t>涪陵海关</w:t>
            </w: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gridSpan w:val="2"/>
            <w:tcBorders>
              <w:top w:val="nil"/>
              <w:left w:val="nil"/>
              <w:bottom w:val="single" w:sz="6" w:space="0" w:color="000000"/>
              <w:right w:val="nil"/>
            </w:tcBorders>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金额单位：万元</w:t>
            </w:r>
          </w:p>
        </w:tc>
      </w:tr>
      <w:tr>
        <w:trPr>
          <w:trHeight w:val="315"/>
        </w:trPr>
        <w:tc>
          <w:tcPr>
            <w:gridSpan w:val="6"/>
            <w:tcBorders>
              <w:top w:val="single" w:sz="6" w:space="0" w:color="000000"/>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预算数</w:t>
            </w:r>
          </w:p>
        </w:tc>
        <w:tc>
          <w:tcPr>
            <w:gridSpan w:val="6"/>
            <w:tcBorders>
              <w:top w:val="single" w:sz="6" w:space="0" w:color="000000"/>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决算数</w:t>
            </w:r>
          </w:p>
        </w:tc>
      </w:tr>
      <w:tr>
        <w:trPr>
          <w:trHeight w:val="315"/>
        </w:trPr>
        <w:tc>
          <w:tcPr>
            <w:vMerge w:val="restart"/>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因公出国（境）费</w:t>
            </w:r>
          </w:p>
        </w:tc>
        <w:tc>
          <w:tcPr>
            <w:gridSpan w:val="3"/>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公务用车购置及运行费</w:t>
            </w:r>
          </w:p>
        </w:tc>
        <w:tc>
          <w:tcPr>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公务接待费</w:t>
            </w:r>
          </w:p>
        </w:tc>
        <w:tc>
          <w:tcPr>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因公出国（境）费</w:t>
            </w:r>
          </w:p>
        </w:tc>
        <w:tc>
          <w:tcPr>
            <w:gridSpan w:val="3"/>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公务用车购置及运行费</w:t>
            </w:r>
          </w:p>
        </w:tc>
        <w:tc>
          <w:tcPr>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公务接待费</w:t>
            </w:r>
          </w:p>
        </w:tc>
      </w:tr>
      <w:tr>
        <w:trPr>
          <w:trHeight w:val="615"/>
        </w:trPr>
        <w:tc>
          <w:tcPr>
            <w:vMerge/>
            <w:tcBorders>
              <w:top w:val="nil"/>
              <w:left w:val="single" w:sz="6" w:space="0" w:color="000000"/>
              <w:bottom w:val="single" w:sz="6" w:space="0" w:color="000000"/>
              <w:right w:val="single" w:sz="6" w:space="0" w:color="000000"/>
            </w:tcBorders>
            <w:vAlign w:val="center"/>
          </w:tcPr>
          <w:p/>
        </w:tc>
        <w:tc>
          <w:tcPr>
            <w:vMerge/>
            <w:tcBorders>
              <w:top w:val="nil"/>
              <w:left w:val="nil"/>
              <w:bottom w:val="single" w:sz="6" w:space="0" w:color="000000"/>
              <w:right w:val="single" w:sz="6" w:space="0" w:color="000000"/>
            </w:tcBorders>
            <w:vAlign w:val="center"/>
          </w:tcP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小计</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公务用车购置费</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公务用车运行费</w:t>
            </w:r>
          </w:p>
        </w:tc>
        <w:tc>
          <w:tcPr>
            <w:vMerge/>
            <w:tcBorders>
              <w:top w:val="nil"/>
              <w:left w:val="nil"/>
              <w:bottom w:val="single" w:sz="6" w:space="0" w:color="000000"/>
              <w:right w:val="single" w:sz="6" w:space="0" w:color="000000"/>
            </w:tcBorders>
            <w:vAlign w:val="center"/>
          </w:tcPr>
          <w:p/>
        </w:tc>
        <w:tc>
          <w:tcPr>
            <w:vMerge/>
            <w:tcBorders>
              <w:top w:val="nil"/>
              <w:left w:val="nil"/>
              <w:bottom w:val="single" w:sz="6" w:space="0" w:color="000000"/>
              <w:right w:val="single" w:sz="6" w:space="0" w:color="000000"/>
            </w:tcBorders>
            <w:vAlign w:val="center"/>
          </w:tcPr>
          <w:p/>
        </w:tc>
        <w:tc>
          <w:tcPr>
            <w:vMerge/>
            <w:tcBorders>
              <w:top w:val="nil"/>
              <w:left w:val="nil"/>
              <w:bottom w:val="single" w:sz="6" w:space="0" w:color="000000"/>
              <w:right w:val="single" w:sz="6" w:space="0" w:color="000000"/>
            </w:tcBorders>
            <w:vAlign w:val="center"/>
          </w:tcP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小计</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公务用车购置费</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公务用车运行费</w:t>
            </w:r>
          </w:p>
        </w:tc>
        <w:tc>
          <w:tcPr>
            <w:vMerge/>
            <w:tcBorders>
              <w:top w:val="nil"/>
              <w:left w:val="nil"/>
              <w:bottom w:val="single" w:sz="6" w:space="0" w:color="000000"/>
              <w:right w:val="single" w:sz="6" w:space="0" w:color="000000"/>
            </w:tcBorders>
            <w:vAlign w:val="center"/>
          </w:tcPr>
          <w:p/>
        </w:tc>
      </w:tr>
      <w:tr>
        <w:trPr>
          <w:trHeight w:val="315"/>
        </w:trPr>
        <w:tc>
          <w:tcPr>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5</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6</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7</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8</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9</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10</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11</w:t>
            </w:r>
          </w:p>
        </w:tc>
        <w:tc>
          <w:tcPr>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12</w:t>
            </w:r>
          </w:p>
        </w:tc>
      </w:tr>
      <w:tr>
        <w:trPr>
          <w:trHeight w:val="315"/>
        </w:trPr>
        <w:tc>
          <w:tcPr>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17.00</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17.00</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17.00</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12.73</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12.73</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12.73</w:t>
            </w:r>
          </w:p>
        </w:tc>
        <w:tc>
          <w:tcPr>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0</w:t>
            </w:r>
          </w:p>
        </w:tc>
      </w:tr>
      <w:tr>
        <w:trPr>
          <w:trHeight w:val="615"/>
        </w:trPr>
        <w:tc>
          <w:tcPr>
            <w:gridSpan w:val="12"/>
            <w:tcBorders>
              <w:top w:val="nil"/>
              <w:left w:val="nil"/>
              <w:bottom w:val="nil"/>
              <w:right w:val="nil"/>
            </w:tcBorders>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Pr>
        <w:spacing w:line="560" w:lineRule="exact"/>
      </w:pPr>
    </w:p>
    <w:p>
      <w:pPr>
        <w:spacing w:line="560" w:lineRule="exact"/>
      </w:pPr>
      <w:r>
        <w:br w:type="page"/>
      </w:r>
    </w:p>
    <w:tbl>
      <w:tblPr>
        <w:jc w:val="left"/>
        <w:tblW w:w="5000"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2250"/>
        <w:gridCol w:w="236"/>
        <w:gridCol w:w="236"/>
        <w:gridCol w:w="4897"/>
        <w:gridCol w:w="1388"/>
        <w:gridCol w:w="953"/>
        <w:gridCol w:w="921"/>
        <w:gridCol w:w="953"/>
        <w:gridCol w:w="1075"/>
        <w:gridCol w:w="1267"/>
      </w:tblGrid>
      <w:tr>
        <w:trPr>
          <w:trHeight w:val="345"/>
        </w:trPr>
        <w:tc>
          <w:tcPr>
            <w:tcW w:w="14176" w:type="dxa"/>
            <w:gridSpan w:val="10"/>
            <w:tcBorders>
              <w:top w:val="nil"/>
              <w:left w:val="nil"/>
              <w:bottom w:val="nil"/>
              <w:right w:val="nil"/>
            </w:tcBorders>
            <w:noWrap/>
            <w:vAlign w:val="bottom"/>
          </w:tcPr>
          <w:p>
            <w:pPr>
              <w:widowControl/>
              <w:spacing w:line="560" w:lineRule="exact"/>
              <w:jc w:val="center"/>
              <w:rPr>
                <w:rFonts w:ascii="方正仿宋_GBK" w:eastAsia="方正仿宋_GBK" w:cs="Arial"/>
                <w:color w:val="000000"/>
                <w:kern w:val="0"/>
                <w:sz w:val="30"/>
                <w:szCs w:val="30"/>
              </w:rPr>
            </w:pPr>
            <w:r>
              <w:rPr>
                <w:rFonts w:ascii="方正仿宋_GBK" w:eastAsia="方正仿宋_GBK" w:cs="Arial" w:hint="eastAsia"/>
                <w:color w:val="000000"/>
                <w:kern w:val="0"/>
                <w:sz w:val="30"/>
                <w:szCs w:val="30"/>
              </w:rPr>
              <w:t>政府性基金预算财政拨款收入支出决算表</w:t>
            </w:r>
          </w:p>
        </w:tc>
      </w:tr>
      <w:tr>
        <w:trPr>
          <w:trHeight w:val="255"/>
        </w:trPr>
        <w:tc>
          <w:tcPr>
            <w:tcW w:w="2250"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4897"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1388"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921"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342" w:type="dxa"/>
            <w:gridSpan w:val="2"/>
            <w:tcBorders>
              <w:top w:val="nil"/>
              <w:left w:val="nil"/>
              <w:bottom w:val="nil"/>
              <w:right w:val="nil"/>
            </w:tcBorders>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公开08表</w:t>
            </w:r>
          </w:p>
        </w:tc>
      </w:tr>
      <w:tr>
        <w:trPr>
          <w:trHeight w:val="255"/>
        </w:trPr>
        <w:tc>
          <w:tcPr>
            <w:tcW w:w="2250" w:type="dxa"/>
            <w:tcBorders>
              <w:top w:val="nil"/>
              <w:left w:val="nil"/>
              <w:bottom w:val="nil"/>
              <w:right w:val="nil"/>
            </w:tcBorders>
            <w:noWrap/>
            <w:vAlign w:val="bottom"/>
          </w:tcPr>
          <w:p>
            <w:pPr>
              <w:widowControl/>
              <w:spacing w:line="560" w:lineRule="exact"/>
              <w:jc w:val="left"/>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单位：</w:t>
            </w:r>
            <w:r>
              <w:rPr>
                <w:rFonts w:ascii="方正仿宋_GBK" w:eastAsia="方正仿宋_GBK" w:cs="Arial"/>
                <w:color w:val="000000"/>
                <w:kern w:val="0"/>
                <w:sz w:val="20"/>
                <w:szCs w:val="20"/>
              </w:rPr>
              <w:t>涪陵海关</w:t>
            </w:r>
          </w:p>
        </w:tc>
        <w:tc>
          <w:tcPr>
            <w:tcW w:w="236"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4897"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1388"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921"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spacing w:line="560" w:lineRule="exact"/>
              <w:jc w:val="left"/>
              <w:rPr>
                <w:rFonts w:ascii="Arial" w:cs="Arial" w:hAnsi="Arial"/>
                <w:color w:val="000000"/>
                <w:kern w:val="0"/>
                <w:sz w:val="20"/>
                <w:szCs w:val="20"/>
              </w:rPr>
            </w:pPr>
          </w:p>
        </w:tc>
        <w:tc>
          <w:tcPr>
            <w:tcW w:w="2342" w:type="dxa"/>
            <w:gridSpan w:val="2"/>
            <w:tcBorders>
              <w:top w:val="nil"/>
              <w:left w:val="nil"/>
              <w:bottom w:val="single" w:sz="6" w:space="0" w:color="000000"/>
              <w:right w:val="nil"/>
            </w:tcBorders>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金额单位：万元</w:t>
            </w:r>
          </w:p>
        </w:tc>
      </w:tr>
      <w:tr>
        <w:trPr>
          <w:trHeight w:val="315"/>
        </w:trPr>
        <w:tc>
          <w:tcPr>
            <w:tcW w:w="7619" w:type="dxa"/>
            <w:gridSpan w:val="4"/>
            <w:tcBorders>
              <w:top w:val="single" w:sz="6" w:space="0" w:color="000000"/>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w:t>
            </w:r>
          </w:p>
        </w:tc>
        <w:tc>
          <w:tcPr>
            <w:tcW w:w="1388" w:type="dxa"/>
            <w:vMerge w:val="restart"/>
            <w:tcBorders>
              <w:top w:val="single" w:sz="6" w:space="0" w:color="000000"/>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年初结转和结余</w:t>
            </w:r>
          </w:p>
        </w:tc>
        <w:tc>
          <w:tcPr>
            <w:tcW w:w="953" w:type="dxa"/>
            <w:vMerge w:val="restart"/>
            <w:tcBorders>
              <w:top w:val="single" w:sz="6" w:space="0" w:color="000000"/>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本年收入</w:t>
            </w:r>
          </w:p>
        </w:tc>
        <w:tc>
          <w:tcPr>
            <w:tcW w:w="2949" w:type="dxa"/>
            <w:gridSpan w:val="3"/>
            <w:tcBorders>
              <w:top w:val="single" w:sz="6" w:space="0" w:color="000000"/>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本年支出</w:t>
            </w:r>
          </w:p>
        </w:tc>
        <w:tc>
          <w:tcPr>
            <w:tcW w:w="1267" w:type="dxa"/>
            <w:vMerge w:val="restart"/>
            <w:tcBorders>
              <w:top w:val="single" w:sz="6" w:space="0" w:color="000000"/>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年末结转和结余</w:t>
            </w:r>
          </w:p>
        </w:tc>
      </w:tr>
      <w:tr>
        <w:trPr>
          <w:trHeight w:val="560"/>
        </w:trPr>
        <w:tc>
          <w:tcPr>
            <w:tcW w:w="2722" w:type="dxa"/>
            <w:gridSpan w:val="3"/>
            <w:vMerge w:val="restart"/>
            <w:tcBorders>
              <w:top w:val="nil"/>
              <w:left w:val="single" w:sz="6" w:space="0" w:color="000000"/>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功能分类科目编码</w:t>
            </w:r>
          </w:p>
        </w:tc>
        <w:tc>
          <w:tcPr>
            <w:tcW w:w="4897" w:type="dxa"/>
            <w:vMerge w:val="restart"/>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科目名称</w:t>
            </w:r>
          </w:p>
        </w:tc>
        <w:tc>
          <w:tcPr>
            <w:tcW w:w="1388"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小计</w:t>
            </w:r>
          </w:p>
        </w:tc>
        <w:tc>
          <w:tcPr>
            <w:tcW w:w="953" w:type="dxa"/>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基本支出</w:t>
            </w:r>
          </w:p>
        </w:tc>
        <w:tc>
          <w:tcPr>
            <w:tcW w:w="1075" w:type="dxa"/>
            <w:vMerge w:val="restart"/>
            <w:tcBorders>
              <w:top w:val="nil"/>
              <w:left w:val="nil"/>
              <w:bottom w:val="single" w:sz="6" w:space="0" w:color="000000"/>
              <w:right w:val="single" w:sz="6" w:space="0" w:color="000000"/>
            </w:tcBorders>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项目支出</w:t>
            </w:r>
          </w:p>
        </w:tc>
        <w:tc>
          <w:tcPr>
            <w:tcW w:w="1267" w:type="dxa"/>
            <w:vMerge/>
            <w:tcBorders>
              <w:top w:val="single" w:sz="6" w:space="0" w:color="000000"/>
              <w:left w:val="nil"/>
              <w:bottom w:val="single" w:sz="6" w:space="0" w:color="000000"/>
              <w:right w:val="single" w:sz="6" w:space="0" w:color="000000"/>
            </w:tcBorders>
            <w:vAlign w:val="center"/>
          </w:tcPr>
          <w:p/>
        </w:tc>
      </w:tr>
      <w:tr>
        <w:trPr>
          <w:trHeight w:val="560"/>
        </w:trPr>
        <w:tc>
          <w:tcPr>
            <w:tcW w:w="2722" w:type="dxa"/>
            <w:gridSpan w:val="3"/>
            <w:vMerge/>
            <w:tcBorders>
              <w:top w:val="nil"/>
              <w:left w:val="single" w:sz="6" w:space="0" w:color="000000"/>
              <w:bottom w:val="single" w:sz="6" w:space="0" w:color="000000"/>
              <w:right w:val="single" w:sz="6" w:space="0" w:color="000000"/>
            </w:tcBorders>
            <w:vAlign w:val="center"/>
          </w:tcPr>
          <w:p/>
        </w:tc>
        <w:tc>
          <w:tcPr>
            <w:tcW w:w="4897" w:type="dxa"/>
            <w:vMerge/>
            <w:tcBorders>
              <w:top w:val="nil"/>
              <w:left w:val="nil"/>
              <w:bottom w:val="single" w:sz="6" w:space="0" w:color="000000"/>
              <w:right w:val="single" w:sz="6" w:space="0" w:color="000000"/>
            </w:tcBorders>
            <w:vAlign w:val="center"/>
          </w:tcPr>
          <w:p/>
        </w:tc>
        <w:tc>
          <w:tcPr>
            <w:tcW w:w="1388"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1075" w:type="dxa"/>
            <w:vMerge/>
            <w:tcBorders>
              <w:top w:val="nil"/>
              <w:left w:val="nil"/>
              <w:bottom w:val="single" w:sz="6" w:space="0" w:color="000000"/>
              <w:right w:val="single" w:sz="6" w:space="0" w:color="000000"/>
            </w:tcBorders>
            <w:vAlign w:val="center"/>
          </w:tcPr>
          <w:p/>
        </w:tc>
        <w:tc>
          <w:tcPr>
            <w:tcW w:w="1267" w:type="dxa"/>
            <w:vMerge/>
            <w:tcBorders>
              <w:top w:val="single" w:sz="6" w:space="0" w:color="000000"/>
              <w:left w:val="nil"/>
              <w:bottom w:val="single" w:sz="6" w:space="0" w:color="000000"/>
              <w:right w:val="single" w:sz="6" w:space="0" w:color="000000"/>
            </w:tcBorders>
            <w:vAlign w:val="center"/>
          </w:tcPr>
          <w:p/>
        </w:tc>
      </w:tr>
      <w:tr>
        <w:trPr>
          <w:trHeight w:val="560"/>
        </w:trPr>
        <w:tc>
          <w:tcPr>
            <w:tcW w:w="2722" w:type="dxa"/>
            <w:gridSpan w:val="3"/>
            <w:vMerge/>
            <w:tcBorders>
              <w:top w:val="nil"/>
              <w:left w:val="single" w:sz="6" w:space="0" w:color="000000"/>
              <w:bottom w:val="single" w:sz="6" w:space="0" w:color="000000"/>
              <w:right w:val="single" w:sz="6" w:space="0" w:color="000000"/>
            </w:tcBorders>
            <w:vAlign w:val="center"/>
          </w:tcPr>
          <w:p/>
        </w:tc>
        <w:tc>
          <w:tcPr>
            <w:tcW w:w="4897" w:type="dxa"/>
            <w:vMerge/>
            <w:tcBorders>
              <w:top w:val="nil"/>
              <w:left w:val="nil"/>
              <w:bottom w:val="single" w:sz="6" w:space="0" w:color="000000"/>
              <w:right w:val="single" w:sz="6" w:space="0" w:color="000000"/>
            </w:tcBorders>
            <w:vAlign w:val="center"/>
          </w:tcPr>
          <w:p/>
        </w:tc>
        <w:tc>
          <w:tcPr>
            <w:tcW w:w="1388"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1075" w:type="dxa"/>
            <w:vMerge/>
            <w:tcBorders>
              <w:top w:val="nil"/>
              <w:left w:val="nil"/>
              <w:bottom w:val="single" w:sz="6" w:space="0" w:color="000000"/>
              <w:right w:val="single" w:sz="6" w:space="0" w:color="000000"/>
            </w:tcBorders>
            <w:vAlign w:val="center"/>
          </w:tcPr>
          <w:p/>
        </w:tc>
        <w:tc>
          <w:tcPr>
            <w:tcW w:w="1267" w:type="dxa"/>
            <w:vMerge/>
            <w:tcBorders>
              <w:top w:val="single" w:sz="6" w:space="0" w:color="000000"/>
              <w:left w:val="nil"/>
              <w:bottom w:val="single" w:sz="6" w:space="0" w:color="000000"/>
              <w:right w:val="single" w:sz="6" w:space="0" w:color="000000"/>
            </w:tcBorders>
            <w:vAlign w:val="center"/>
          </w:tcPr>
          <w:p/>
        </w:tc>
      </w:tr>
      <w:tr>
        <w:trPr>
          <w:trHeight w:val="315"/>
        </w:trPr>
        <w:tc>
          <w:tcPr>
            <w:tcW w:w="7619" w:type="dxa"/>
            <w:gridSpan w:val="4"/>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栏次</w:t>
            </w:r>
          </w:p>
        </w:tc>
        <w:tc>
          <w:tcPr>
            <w:tcW w:w="138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w:t>
            </w:r>
          </w:p>
        </w:tc>
        <w:tc>
          <w:tcPr>
            <w:tcW w:w="953"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w:t>
            </w:r>
          </w:p>
        </w:tc>
        <w:tc>
          <w:tcPr>
            <w:tcW w:w="92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w:t>
            </w:r>
          </w:p>
        </w:tc>
        <w:tc>
          <w:tcPr>
            <w:tcW w:w="953"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4</w:t>
            </w:r>
          </w:p>
        </w:tc>
        <w:tc>
          <w:tcPr>
            <w:tcW w:w="107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5</w:t>
            </w:r>
          </w:p>
        </w:tc>
        <w:tc>
          <w:tcPr>
            <w:tcW w:w="1267"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6</w:t>
            </w:r>
          </w:p>
        </w:tc>
      </w:tr>
      <w:tr>
        <w:trPr>
          <w:trHeight w:val="315"/>
        </w:trPr>
        <w:tc>
          <w:tcPr>
            <w:tcW w:w="7619" w:type="dxa"/>
            <w:gridSpan w:val="4"/>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tcW w:w="1388" w:type="dxa"/>
            <w:tcBorders>
              <w:top w:val="nil"/>
              <w:left w:val="nil"/>
              <w:bottom w:val="single" w:sz="6" w:space="0" w:color="000000"/>
              <w:right w:val="single" w:sz="6" w:space="0" w:color="000000"/>
            </w:tcBorders>
            <w:noWrap/>
            <w:vAlign w:val="center"/>
          </w:tcPr>
          <w:p>
            <w:pPr>
              <w:widowControl/>
              <w:spacing w:line="560" w:lineRule="exact"/>
              <w:jc w:val="right"/>
              <w:rPr>
                <w:rFonts w:ascii="方正仿宋_GBK" w:eastAsia="方正仿宋_GBK"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spacing w:line="560" w:lineRule="exact"/>
              <w:jc w:val="right"/>
              <w:rPr>
                <w:rFonts w:ascii="方正仿宋_GBK" w:eastAsia="方正仿宋_GBK"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spacing w:line="560" w:lineRule="exact"/>
              <w:jc w:val="right"/>
              <w:rPr>
                <w:rFonts w:ascii="方正仿宋_GBK" w:eastAsia="方正仿宋_GBK"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spacing w:line="560" w:lineRule="exact"/>
              <w:jc w:val="right"/>
              <w:rPr>
                <w:rFonts w:ascii="方正仿宋_GBK" w:eastAsia="方正仿宋_GBK" w:cs="Arial"/>
                <w:color w:val="000000"/>
                <w:kern w:val="0"/>
                <w:sz w:val="22"/>
                <w:szCs w:val="22"/>
              </w:rPr>
            </w:pPr>
          </w:p>
        </w:tc>
        <w:tc>
          <w:tcPr>
            <w:tcW w:w="1075" w:type="dxa"/>
            <w:tcBorders>
              <w:top w:val="nil"/>
              <w:left w:val="nil"/>
              <w:bottom w:val="single" w:sz="6" w:space="0" w:color="000000"/>
              <w:right w:val="single" w:sz="6" w:space="0" w:color="000000"/>
            </w:tcBorders>
            <w:noWrap/>
            <w:vAlign w:val="center"/>
          </w:tcPr>
          <w:p>
            <w:pPr>
              <w:widowControl/>
              <w:spacing w:line="560" w:lineRule="exact"/>
              <w:jc w:val="right"/>
              <w:rPr>
                <w:rFonts w:ascii="方正仿宋_GBK" w:eastAsia="方正仿宋_GBK" w:cs="Arial"/>
                <w:color w:val="000000"/>
                <w:kern w:val="0"/>
                <w:sz w:val="22"/>
                <w:szCs w:val="22"/>
              </w:rPr>
            </w:pPr>
          </w:p>
        </w:tc>
        <w:tc>
          <w:tcPr>
            <w:tcW w:w="1267" w:type="dxa"/>
            <w:tcBorders>
              <w:top w:val="nil"/>
              <w:left w:val="nil"/>
              <w:bottom w:val="single" w:sz="6" w:space="0" w:color="000000"/>
              <w:right w:val="single" w:sz="6" w:space="0" w:color="000000"/>
            </w:tcBorders>
            <w:noWrap/>
            <w:vAlign w:val="center"/>
          </w:tcPr>
          <w:p>
            <w:pPr>
              <w:widowControl/>
              <w:spacing w:line="560" w:lineRule="exact"/>
              <w:jc w:val="right"/>
              <w:rPr>
                <w:rFonts w:ascii="方正仿宋_GBK" w:eastAsia="方正仿宋_GBK" w:cs="Arial"/>
                <w:color w:val="000000"/>
                <w:kern w:val="0"/>
                <w:sz w:val="22"/>
                <w:szCs w:val="22"/>
              </w:rPr>
            </w:pPr>
          </w:p>
        </w:tc>
      </w:tr>
      <w:tr>
        <w:trPr>
          <w:trHeight w:val="315"/>
        </w:trPr>
        <w:tc>
          <w:tcPr>
            <w:tcW w:w="2722"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4897"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138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107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1267"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r>
      <w:tr>
        <w:trPr>
          <w:trHeight w:val="315"/>
        </w:trPr>
        <w:tc>
          <w:tcPr>
            <w:tcW w:w="2722"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4897"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138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107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c>
          <w:tcPr>
            <w:tcW w:w="1267"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p>
        </w:tc>
      </w:tr>
      <w:tr>
        <w:trPr>
          <w:trHeight w:val="315"/>
        </w:trPr>
        <w:tc>
          <w:tcPr>
            <w:tcW w:w="2722" w:type="dxa"/>
            <w:gridSpan w:val="3"/>
            <w:tcBorders>
              <w:top w:val="nil"/>
              <w:left w:val="single" w:sz="6" w:space="0" w:color="000000"/>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4897"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388"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953"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921"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953"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075"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267" w:type="dxa"/>
            <w:tcBorders>
              <w:top w:val="nil"/>
              <w:left w:val="nil"/>
              <w:bottom w:val="single" w:sz="6" w:space="0" w:color="000000"/>
              <w:right w:val="single" w:sz="6" w:space="0" w:color="000000"/>
            </w:tcBorders>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r>
      <w:tr>
        <w:trPr>
          <w:trHeight w:val="315"/>
        </w:trPr>
        <w:tc>
          <w:tcPr>
            <w:tcW w:w="14176" w:type="dxa"/>
            <w:gridSpan w:val="10"/>
            <w:tcBorders>
              <w:top w:val="nil"/>
              <w:left w:val="nil"/>
              <w:bottom w:val="nil"/>
              <w:right w:val="nil"/>
            </w:tcBorders>
            <w:noWrap/>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注：本表反映部门本年度政府性基金预算财政拨款收入、支出及结转和结余情况。</w:t>
            </w:r>
          </w:p>
        </w:tc>
      </w:tr>
    </w:tbl>
    <w:p>
      <w:pPr>
        <w:spacing w:line="560" w:lineRule="exact"/>
        <w:rPr>
          <w:b/>
          <w:sz w:val="28"/>
          <w:szCs w:val="28"/>
        </w:rPr>
      </w:pPr>
      <w:r>
        <w:rPr>
          <w:rFonts w:hint="eastAsia"/>
          <w:b/>
          <w:sz w:val="28"/>
          <w:szCs w:val="28"/>
        </w:rPr>
        <w:t>说明：</w:t>
      </w:r>
      <w:r>
        <w:rPr>
          <w:rFonts w:hint="eastAsia"/>
          <w:b/>
          <w:kern w:val="0"/>
          <w:sz w:val="28"/>
          <w:szCs w:val="28"/>
        </w:rPr>
        <w:t>涪陵</w:t>
      </w:r>
      <w:r>
        <w:rPr>
          <w:rFonts w:hint="eastAsia"/>
          <w:b/>
          <w:sz w:val="28"/>
          <w:szCs w:val="28"/>
        </w:rPr>
        <w:t>海关没有政府性基金收入，也没有使用政府性基金安排的支出，故本表无数据。</w:t>
      </w:r>
    </w:p>
    <w:p>
      <w:pPr>
        <w:spacing w:line="560" w:lineRule="exact"/>
      </w:pPr>
    </w:p>
    <w:tbl>
      <w:tblPr>
        <w:jc w:val="left"/>
        <w:tblW w:w="5000"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026"/>
        <w:gridCol w:w="4655"/>
        <w:gridCol w:w="957"/>
        <w:gridCol w:w="674"/>
        <w:gridCol w:w="1016"/>
        <w:gridCol w:w="2047"/>
        <w:gridCol w:w="3800"/>
      </w:tblGrid>
      <w:tr>
        <w:trPr>
          <w:trHeight w:val="345"/>
        </w:trPr>
        <w:tc>
          <w:tcPr>
            <w:tcW w:w="13654" w:type="dxa"/>
            <w:gridSpan w:val="7"/>
            <w:tcBorders>
              <w:top w:val="nil"/>
              <w:left w:val="nil"/>
              <w:bottom w:val="nil"/>
              <w:right w:val="nil"/>
            </w:tcBorders>
            <w:noWrap/>
            <w:vAlign w:val="bottom"/>
          </w:tcPr>
          <w:p>
            <w:pPr>
              <w:widowControl/>
              <w:spacing w:line="560" w:lineRule="exact"/>
              <w:jc w:val="center"/>
              <w:rPr>
                <w:rFonts w:ascii="方正仿宋_GBK" w:eastAsia="方正仿宋_GBK" w:cs="Arial"/>
                <w:color w:val="000000"/>
                <w:kern w:val="0"/>
                <w:sz w:val="30"/>
                <w:szCs w:val="30"/>
              </w:rPr>
            </w:pPr>
            <w:r>
              <w:rPr>
                <w:rFonts w:ascii="方正仿宋_GBK" w:eastAsia="方正仿宋_GBK" w:cs="Arial" w:hint="eastAsia"/>
                <w:color w:val="000000"/>
                <w:kern w:val="0"/>
                <w:sz w:val="30"/>
                <w:szCs w:val="30"/>
              </w:rPr>
              <w:t>国有资本经营预算财政拨款支出决算表</w:t>
            </w:r>
          </w:p>
        </w:tc>
      </w:tr>
      <w:tr>
        <w:trPr>
          <w:trHeight w:val="255"/>
        </w:trPr>
        <w:tc>
          <w:tcPr>
            <w:tcW w:w="5472" w:type="dxa"/>
            <w:gridSpan w:val="2"/>
            <w:tcBorders>
              <w:top w:val="nil"/>
              <w:left w:val="nil"/>
              <w:bottom w:val="nil"/>
              <w:right w:val="nil"/>
            </w:tcBorders>
            <w:shd w:val="clear" w:color="auto" w:fill="auto"/>
            <w:noWrap/>
            <w:vAlign w:val="bottom"/>
          </w:tcPr>
          <w:p>
            <w:pPr>
              <w:widowControl/>
              <w:spacing w:line="560" w:lineRule="exact"/>
              <w:jc w:val="left"/>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单位：</w:t>
            </w:r>
            <w:r>
              <w:rPr>
                <w:rFonts w:ascii="方正仿宋_GBK" w:eastAsia="方正仿宋_GBK" w:cs="Arial"/>
                <w:color w:val="000000"/>
                <w:kern w:val="0"/>
                <w:sz w:val="20"/>
                <w:szCs w:val="20"/>
              </w:rPr>
              <w:t>涪陵海关</w:t>
            </w:r>
          </w:p>
        </w:tc>
        <w:tc>
          <w:tcPr>
            <w:tcW w:w="922" w:type="dxa"/>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1628" w:type="dxa"/>
            <w:gridSpan w:val="2"/>
            <w:tcBorders>
              <w:top w:val="nil"/>
              <w:left w:val="nil"/>
              <w:bottom w:val="nil"/>
              <w:right w:val="nil"/>
            </w:tcBorders>
            <w:shd w:val="clear" w:color="auto" w:fill="auto"/>
            <w:noWrap/>
            <w:vAlign w:val="bottom"/>
          </w:tcPr>
          <w:p>
            <w:pPr>
              <w:widowControl/>
              <w:spacing w:line="560" w:lineRule="exact"/>
              <w:jc w:val="left"/>
              <w:rPr>
                <w:rFonts w:ascii="Arial" w:cs="Arial" w:hAnsi="Arial"/>
                <w:color w:val="000000"/>
                <w:kern w:val="0"/>
                <w:sz w:val="20"/>
                <w:szCs w:val="20"/>
              </w:rPr>
            </w:pPr>
          </w:p>
        </w:tc>
        <w:tc>
          <w:tcPr>
            <w:tcW w:w="5632" w:type="dxa"/>
            <w:gridSpan w:val="2"/>
            <w:tcBorders>
              <w:top w:val="nil"/>
              <w:left w:val="nil"/>
              <w:bottom w:val="nil"/>
              <w:right w:val="nil"/>
            </w:tcBorders>
            <w:shd w:val="clear" w:color="auto" w:fill="auto"/>
            <w:noWrap/>
            <w:vAlign w:val="bottom"/>
          </w:tcPr>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公开09表</w:t>
            </w:r>
          </w:p>
          <w:p>
            <w:pPr>
              <w:widowControl/>
              <w:spacing w:line="560" w:lineRule="exact"/>
              <w:jc w:val="right"/>
              <w:rPr>
                <w:rFonts w:ascii="方正仿宋_GBK" w:eastAsia="方正仿宋_GBK" w:cs="Arial"/>
                <w:color w:val="000000"/>
                <w:kern w:val="0"/>
                <w:szCs w:val="21"/>
              </w:rPr>
            </w:pPr>
            <w:r>
              <w:rPr>
                <w:rFonts w:ascii="方正仿宋_GBK" w:eastAsia="方正仿宋_GBK" w:cs="Arial" w:hint="eastAsia"/>
                <w:color w:val="000000"/>
                <w:kern w:val="0"/>
                <w:szCs w:val="21"/>
              </w:rPr>
              <w:t>金额单位：万元</w:t>
            </w:r>
          </w:p>
        </w:tc>
      </w:tr>
      <w:tr>
        <w:trPr>
          <w:trHeight w:val="308"/>
        </w:trPr>
        <w:tc>
          <w:tcPr>
            <w:tcW w:w="547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w:t>
            </w:r>
          </w:p>
        </w:tc>
        <w:tc>
          <w:tcPr>
            <w:tcW w:w="8182" w:type="dxa"/>
            <w:gridSpan w:val="5"/>
            <w:tcBorders>
              <w:top w:val="single" w:sz="4" w:space="0" w:color="000000"/>
              <w:left w:val="nil"/>
              <w:bottom w:val="single" w:sz="4" w:space="0" w:color="000000"/>
              <w:right w:val="single" w:sz="4" w:space="0" w:color="000000"/>
            </w:tcBorders>
            <w:shd w:val="clear" w:color="auto" w:fill="FFFFFF"/>
            <w:vAlign w:val="center"/>
          </w:tcPr>
          <w:p>
            <w:pPr>
              <w:widowControl/>
              <w:spacing w:line="560" w:lineRule="exact"/>
              <w:jc w:val="left"/>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本年支出</w:t>
            </w:r>
          </w:p>
        </w:tc>
      </w:tr>
      <w:tr>
        <w:trPr>
          <w:trHeight w:val="560"/>
        </w:trPr>
        <w:tc>
          <w:tcPr>
            <w:tcW w:w="988" w:type="dxa"/>
            <w:vMerge w:val="restart"/>
            <w:tcBorders>
              <w:top w:val="nil"/>
              <w:left w:val="single" w:sz="4" w:space="0" w:color="000000"/>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功能分类科目编码</w:t>
            </w:r>
          </w:p>
        </w:tc>
        <w:tc>
          <w:tcPr>
            <w:tcW w:w="4484" w:type="dxa"/>
            <w:vMerge w:val="restart"/>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科目名称</w:t>
            </w:r>
          </w:p>
        </w:tc>
        <w:tc>
          <w:tcPr>
            <w:tcW w:w="1571" w:type="dxa"/>
            <w:gridSpan w:val="2"/>
            <w:vMerge w:val="restart"/>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tcW w:w="2951" w:type="dxa"/>
            <w:gridSpan w:val="2"/>
            <w:vMerge w:val="restart"/>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基本支出</w:t>
            </w:r>
          </w:p>
        </w:tc>
        <w:tc>
          <w:tcPr>
            <w:tcW w:w="3660" w:type="dxa"/>
            <w:vMerge w:val="restart"/>
            <w:tcBorders>
              <w:top w:val="nil"/>
              <w:left w:val="nil"/>
              <w:bottom w:val="single" w:sz="4" w:space="0" w:color="000000"/>
              <w:right w:val="single" w:sz="4" w:space="0" w:color="000000"/>
            </w:tcBorders>
            <w:shd w:val="clear" w:color="auto" w:fill="FFFFFF"/>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项目支出</w:t>
            </w:r>
          </w:p>
        </w:tc>
      </w:tr>
      <w:tr>
        <w:trPr>
          <w:trHeight w:val="560"/>
        </w:trPr>
        <w:tc>
          <w:tcPr>
            <w:tcW w:w="988" w:type="dxa"/>
            <w:vMerge/>
            <w:tcBorders>
              <w:top w:val="nil"/>
              <w:left w:val="single" w:sz="4" w:space="0" w:color="000000"/>
              <w:bottom w:val="single" w:sz="4" w:space="0" w:color="000000"/>
              <w:right w:val="single" w:sz="4" w:space="0" w:color="000000"/>
            </w:tcBorders>
            <w:shd w:val="clear" w:color="auto" w:fill="FFFFFF"/>
            <w:vAlign w:val="center"/>
          </w:tcPr>
          <w:p/>
        </w:tc>
        <w:tc>
          <w:tcPr>
            <w:tcW w:w="4484" w:type="dxa"/>
            <w:vMerge/>
            <w:tcBorders>
              <w:top w:val="nil"/>
              <w:left w:val="nil"/>
              <w:bottom w:val="single" w:sz="4" w:space="0" w:color="000000"/>
              <w:right w:val="single" w:sz="4" w:space="0" w:color="000000"/>
            </w:tcBorders>
            <w:shd w:val="clear" w:color="auto" w:fill="FFFFFF"/>
            <w:vAlign w:val="center"/>
          </w:tcPr>
          <w:p/>
        </w:tc>
        <w:tc>
          <w:tcPr>
            <w:tcW w:w="1571" w:type="dxa"/>
            <w:gridSpan w:val="2"/>
            <w:vMerge/>
            <w:tcBorders>
              <w:top w:val="nil"/>
              <w:left w:val="nil"/>
              <w:bottom w:val="single" w:sz="4" w:space="0" w:color="000000"/>
              <w:right w:val="single" w:sz="4" w:space="0" w:color="000000"/>
            </w:tcBorders>
            <w:shd w:val="clear" w:color="auto" w:fill="FFFFFF"/>
            <w:vAlign w:val="center"/>
          </w:tcPr>
          <w:p/>
        </w:tc>
        <w:tc>
          <w:tcPr>
            <w:tcW w:w="2951" w:type="dxa"/>
            <w:gridSpan w:val="2"/>
            <w:vMerge/>
            <w:tcBorders>
              <w:top w:val="nil"/>
              <w:left w:val="nil"/>
              <w:bottom w:val="single" w:sz="4" w:space="0" w:color="000000"/>
              <w:right w:val="single" w:sz="4" w:space="0" w:color="000000"/>
            </w:tcBorders>
            <w:shd w:val="clear" w:color="auto" w:fill="FFFFFF"/>
            <w:vAlign w:val="center"/>
          </w:tcPr>
          <w:p/>
        </w:tc>
        <w:tc>
          <w:tcPr>
            <w:tcW w:w="3660" w:type="dxa"/>
            <w:vMerge/>
            <w:tcBorders>
              <w:top w:val="nil"/>
              <w:left w:val="nil"/>
              <w:bottom w:val="single" w:sz="4" w:space="0" w:color="000000"/>
              <w:right w:val="single" w:sz="4" w:space="0" w:color="000000"/>
            </w:tcBorders>
            <w:shd w:val="clear" w:color="auto" w:fill="FFFFFF"/>
            <w:vAlign w:val="center"/>
          </w:tcPr>
          <w:p/>
        </w:tc>
      </w:tr>
      <w:tr>
        <w:trPr>
          <w:trHeight w:val="560"/>
        </w:trPr>
        <w:tc>
          <w:tcPr>
            <w:tcW w:w="988" w:type="dxa"/>
            <w:vMerge/>
            <w:tcBorders>
              <w:top w:val="nil"/>
              <w:left w:val="single" w:sz="4" w:space="0" w:color="000000"/>
              <w:bottom w:val="single" w:sz="4" w:space="0" w:color="000000"/>
              <w:right w:val="single" w:sz="4" w:space="0" w:color="000000"/>
            </w:tcBorders>
            <w:shd w:val="clear" w:color="auto" w:fill="FFFFFF"/>
            <w:vAlign w:val="center"/>
          </w:tcPr>
          <w:p/>
        </w:tc>
        <w:tc>
          <w:tcPr>
            <w:tcW w:w="4484" w:type="dxa"/>
            <w:vMerge/>
            <w:tcBorders>
              <w:top w:val="nil"/>
              <w:left w:val="nil"/>
              <w:bottom w:val="single" w:sz="4" w:space="0" w:color="000000"/>
              <w:right w:val="single" w:sz="4" w:space="0" w:color="000000"/>
            </w:tcBorders>
            <w:shd w:val="clear" w:color="auto" w:fill="FFFFFF"/>
            <w:vAlign w:val="center"/>
          </w:tcPr>
          <w:p/>
        </w:tc>
        <w:tc>
          <w:tcPr>
            <w:tcW w:w="1571" w:type="dxa"/>
            <w:gridSpan w:val="2"/>
            <w:vMerge/>
            <w:tcBorders>
              <w:top w:val="nil"/>
              <w:left w:val="nil"/>
              <w:bottom w:val="single" w:sz="4" w:space="0" w:color="000000"/>
              <w:right w:val="single" w:sz="4" w:space="0" w:color="000000"/>
            </w:tcBorders>
            <w:shd w:val="clear" w:color="auto" w:fill="FFFFFF"/>
            <w:vAlign w:val="center"/>
          </w:tcPr>
          <w:p/>
        </w:tc>
        <w:tc>
          <w:tcPr>
            <w:tcW w:w="2951" w:type="dxa"/>
            <w:gridSpan w:val="2"/>
            <w:vMerge/>
            <w:tcBorders>
              <w:top w:val="nil"/>
              <w:left w:val="nil"/>
              <w:bottom w:val="single" w:sz="4" w:space="0" w:color="000000"/>
              <w:right w:val="single" w:sz="4" w:space="0" w:color="000000"/>
            </w:tcBorders>
            <w:shd w:val="clear" w:color="auto" w:fill="FFFFFF"/>
            <w:vAlign w:val="center"/>
          </w:tcPr>
          <w:p/>
        </w:tc>
        <w:tc>
          <w:tcPr>
            <w:tcW w:w="3660" w:type="dxa"/>
            <w:vMerge/>
            <w:tcBorders>
              <w:top w:val="nil"/>
              <w:left w:val="nil"/>
              <w:bottom w:val="single" w:sz="4" w:space="0" w:color="000000"/>
              <w:right w:val="single" w:sz="4" w:space="0" w:color="000000"/>
            </w:tcBorders>
            <w:shd w:val="clear" w:color="auto" w:fill="FFFFFF"/>
            <w:vAlign w:val="center"/>
          </w:tcPr>
          <w:p/>
        </w:tc>
      </w:tr>
      <w:tr>
        <w:trPr>
          <w:trHeight w:val="308"/>
        </w:trPr>
        <w:tc>
          <w:tcPr>
            <w:tcW w:w="5472" w:type="dxa"/>
            <w:gridSpan w:val="2"/>
            <w:tcBorders>
              <w:top w:val="nil"/>
              <w:left w:val="single" w:sz="4" w:space="0" w:color="000000"/>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栏次</w:t>
            </w:r>
          </w:p>
        </w:tc>
        <w:tc>
          <w:tcPr>
            <w:tcW w:w="1571"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1</w:t>
            </w:r>
          </w:p>
        </w:tc>
        <w:tc>
          <w:tcPr>
            <w:tcW w:w="2951"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2</w:t>
            </w:r>
          </w:p>
        </w:tc>
        <w:tc>
          <w:tcPr>
            <w:tcW w:w="3660"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3</w:t>
            </w:r>
          </w:p>
        </w:tc>
      </w:tr>
      <w:tr>
        <w:trPr>
          <w:trHeight w:val="308"/>
        </w:trPr>
        <w:tc>
          <w:tcPr>
            <w:tcW w:w="5472" w:type="dxa"/>
            <w:gridSpan w:val="2"/>
            <w:tcBorders>
              <w:top w:val="nil"/>
              <w:left w:val="single" w:sz="4" w:space="0" w:color="000000"/>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合计</w:t>
            </w:r>
          </w:p>
        </w:tc>
        <w:tc>
          <w:tcPr>
            <w:tcW w:w="1571"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2951" w:type="dxa"/>
            <w:gridSpan w:val="2"/>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3660" w:type="dxa"/>
            <w:tcBorders>
              <w:top w:val="nil"/>
              <w:left w:val="nil"/>
              <w:bottom w:val="single" w:sz="4" w:space="0" w:color="000000"/>
              <w:right w:val="single" w:sz="4" w:space="0" w:color="000000"/>
            </w:tcBorders>
            <w:shd w:val="clear" w:color="auto" w:fill="FFFFFF"/>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r>
      <w:tr>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4484" w:type="dxa"/>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571" w:type="dxa"/>
            <w:gridSpan w:val="2"/>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2951" w:type="dxa"/>
            <w:gridSpan w:val="2"/>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3660" w:type="dxa"/>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r>
      <w:tr>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4484" w:type="dxa"/>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571" w:type="dxa"/>
            <w:gridSpan w:val="2"/>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2951" w:type="dxa"/>
            <w:gridSpan w:val="2"/>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3660" w:type="dxa"/>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r>
      <w:tr>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4484" w:type="dxa"/>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1571" w:type="dxa"/>
            <w:gridSpan w:val="2"/>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2951" w:type="dxa"/>
            <w:gridSpan w:val="2"/>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c>
          <w:tcPr>
            <w:tcW w:w="3660" w:type="dxa"/>
            <w:tcBorders>
              <w:top w:val="nil"/>
              <w:left w:val="nil"/>
              <w:bottom w:val="single" w:sz="4" w:space="0" w:color="000000"/>
              <w:right w:val="single" w:sz="4" w:space="0" w:color="000000"/>
            </w:tcBorders>
            <w:shd w:val="clear" w:color="auto" w:fill="auto"/>
            <w:noWrap/>
            <w:vAlign w:val="center"/>
          </w:tcPr>
          <w:p>
            <w:pPr>
              <w:widowControl/>
              <w:spacing w:line="560" w:lineRule="exact"/>
              <w:jc w:val="center"/>
              <w:rPr>
                <w:rFonts w:ascii="方正仿宋_GBK" w:eastAsia="方正仿宋_GBK" w:cs="Arial"/>
                <w:color w:val="000000"/>
                <w:kern w:val="0"/>
                <w:sz w:val="22"/>
                <w:szCs w:val="22"/>
              </w:rPr>
            </w:pPr>
            <w:r>
              <w:rPr>
                <w:rFonts w:ascii="方正仿宋_GBK" w:eastAsia="方正仿宋_GBK" w:cs="Arial" w:hint="eastAsia"/>
                <w:color w:val="000000"/>
                <w:kern w:val="0"/>
                <w:sz w:val="22"/>
                <w:szCs w:val="22"/>
              </w:rPr>
              <w:t>　</w:t>
            </w:r>
          </w:p>
        </w:tc>
      </w:tr>
      <w:tr>
        <w:trPr>
          <w:trHeight w:val="308"/>
        </w:trPr>
        <w:tc>
          <w:tcPr>
            <w:tcW w:w="13654" w:type="dxa"/>
            <w:gridSpan w:val="7"/>
            <w:tcBorders>
              <w:top w:val="nil"/>
              <w:left w:val="nil"/>
              <w:bottom w:val="nil"/>
              <w:right w:val="nil"/>
            </w:tcBorders>
            <w:shd w:val="clear" w:color="auto" w:fill="auto"/>
            <w:noWrap/>
            <w:vAlign w:val="center"/>
          </w:tcPr>
          <w:p>
            <w:pPr>
              <w:widowControl/>
              <w:spacing w:line="560" w:lineRule="exact"/>
              <w:jc w:val="left"/>
              <w:rPr>
                <w:rFonts w:ascii="宋体" w:cs="Arial"/>
                <w:color w:val="000000"/>
                <w:kern w:val="0"/>
                <w:sz w:val="22"/>
                <w:szCs w:val="22"/>
              </w:rPr>
            </w:pPr>
            <w:r>
              <w:rPr>
                <w:rFonts w:ascii="方正仿宋_GBK" w:eastAsia="方正仿宋_GBK" w:cs="Arial" w:hint="eastAsia"/>
                <w:color w:val="000000"/>
                <w:kern w:val="0"/>
                <w:sz w:val="22"/>
                <w:szCs w:val="22"/>
              </w:rPr>
              <w:t>注：本表反映部门本年度国有资本经营预算财政拨款支出情况。</w:t>
            </w:r>
          </w:p>
        </w:tc>
      </w:tr>
    </w:tbl>
    <w:p>
      <w:pPr>
        <w:spacing w:line="560" w:lineRule="exact"/>
        <w:rPr>
          <w:b/>
          <w:sz w:val="28"/>
          <w:szCs w:val="28"/>
        </w:rPr>
      </w:pPr>
      <w:r>
        <w:rPr>
          <w:rFonts w:hint="eastAsia"/>
          <w:b/>
          <w:sz w:val="28"/>
          <w:szCs w:val="28"/>
        </w:rPr>
        <w:t>说明：</w:t>
      </w:r>
      <w:r>
        <w:rPr>
          <w:rFonts w:hint="eastAsia"/>
          <w:b/>
          <w:kern w:val="0"/>
          <w:sz w:val="28"/>
          <w:szCs w:val="28"/>
        </w:rPr>
        <w:t>涪陵</w:t>
      </w:r>
      <w:r>
        <w:rPr>
          <w:rFonts w:hint="eastAsia"/>
          <w:b/>
          <w:sz w:val="28"/>
          <w:szCs w:val="28"/>
        </w:rPr>
        <w:t>海关没有国有资本经营预算，也无相应支出，故本表无数据。</w:t>
      </w:r>
    </w:p>
    <w:p>
      <w:pPr>
        <w:spacing w:line="560" w:lineRule="exact"/>
        <w:rPr>
          <w:b/>
          <w:sz w:val="28"/>
          <w:szCs w:val="28"/>
        </w:rPr>
        <w:sectPr>
          <w:pgSz w:w="16840" w:h="11907" w:orient="landscape"/>
          <w:pgMar w:top="1134" w:right="1440" w:bottom="1134" w:left="1440" w:header="851" w:footer="992" w:gutter="0"/>
          <w:docGrid w:linePitch="312" w:charSpace="0"/>
        </w:sectPr>
      </w:pPr>
    </w:p>
    <w:p>
      <w:pPr>
        <w:spacing w:line="560" w:lineRule="exact"/>
        <w:rPr>
          <w:rFonts w:ascii="方正黑体_GBK" w:eastAsia="方正黑体_GBK" w:cs="Arial"/>
          <w:color w:val="000000"/>
          <w:kern w:val="0"/>
          <w:sz w:val="32"/>
          <w:szCs w:val="32"/>
        </w:rPr>
      </w:pPr>
      <w:r>
        <w:rPr>
          <w:rFonts w:ascii="方正黑体_GBK" w:eastAsia="方正黑体_GBK" w:hint="eastAsia"/>
          <w:sz w:val="32"/>
          <w:szCs w:val="32"/>
        </w:rPr>
        <w:t>三、2021年度部门决算情况说明</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（一）收入支出总体情况说明。</w:t>
      </w:r>
    </w:p>
    <w:p>
      <w:pPr>
        <w:snapToGrid w:val="0"/>
        <w:spacing w:line="560" w:lineRule="exact"/>
        <w:ind w:firstLineChars="200" w:firstLine="640"/>
        <w:rPr>
          <w:rFonts w:ascii="仿宋_GB2312" w:eastAsia="仿宋_GB2312"/>
          <w:sz w:val="32"/>
          <w:szCs w:val="32"/>
        </w:rPr>
      </w:pPr>
      <w:r>
        <w:rPr>
          <w:rFonts w:eastAsia="方正仿宋_GBK" w:hint="eastAsia"/>
          <w:sz w:val="32"/>
          <w:szCs w:val="32"/>
        </w:rPr>
        <w:t>2022年度收、支总计2090.67万元。与2021年度相比，收、支总计增加788.33万元，增长60.53%，主要</w:t>
      </w:r>
      <w:r>
        <w:rPr>
          <w:rFonts w:eastAsia="方正仿宋_GBK"/>
          <w:sz w:val="32"/>
          <w:szCs w:val="32"/>
        </w:rPr>
        <w:t>原因是</w:t>
      </w:r>
      <w:r>
        <w:rPr>
          <w:rFonts w:eastAsia="方正仿宋_GBK" w:hint="eastAsia"/>
          <w:sz w:val="32"/>
          <w:szCs w:val="32"/>
        </w:rPr>
        <w:t>2022年较2021年收到地方支持海关工作经费</w:t>
      </w:r>
      <w:r>
        <w:rPr>
          <w:rFonts w:eastAsia="方正仿宋_GBK"/>
          <w:sz w:val="32"/>
          <w:szCs w:val="32"/>
        </w:rPr>
        <w:t>收入</w:t>
      </w:r>
      <w:r>
        <w:rPr>
          <w:rFonts w:eastAsia="方正仿宋_GBK" w:hint="eastAsia"/>
          <w:sz w:val="32"/>
          <w:szCs w:val="32"/>
        </w:rPr>
        <w:t>增长较大，导致2022年收入显著增加。</w:t>
      </w:r>
    </w:p>
    <w:p>
      <w:pPr>
        <w:snapToGrid w:val="0"/>
        <w:spacing w:line="560" w:lineRule="exact"/>
        <w:ind w:firstLineChars="200" w:firstLine="640"/>
        <w:rPr>
          <w:rFonts w:ascii="仿宋_GB2312" w:eastAsia="仿宋_GB2312"/>
          <w:sz w:val="32"/>
          <w:szCs w:val="32"/>
        </w:rPr>
      </w:pP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图1：收、支决算总计变动情况</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drawing>
          <wp:anchor distT="0" distB="0" distL="114300" distR="114300" simplePos="0" relativeHeight="18" behindDoc="0" locked="0" layoutInCell="1" hidden="0" allowOverlap="1">
            <wp:simplePos x="0" y="0"/>
            <wp:positionH relativeFrom="column">
              <wp:posOffset>247650</wp:posOffset>
            </wp:positionH>
            <wp:positionV relativeFrom="paragraph">
              <wp:posOffset>208913</wp:posOffset>
            </wp:positionV>
            <wp:extent cx="5486400" cy="3200399"/>
            <wp:effectExtent l="0" t="0" r="0" b="0"/>
            <wp:wrapNone/>
            <wp:docPr id="1" name="图片 1"/>
            <wp:cNvGraphicFramePr>
              <a:graphicFrameLocks noChangeAspect="0"/>
            </wp:cNvGraphicFramePr>
            <a:graphic>
              <a:graphicData uri="http://schemas.openxmlformats.org/drawingml/2006/picture">
                <pic:pic>
                  <pic:nvPicPr>
                    <pic:cNvPr id="3" name="图片 3"/>
                    <pic:cNvPicPr/>
                  </pic:nvPicPr>
                  <pic:blipFill>
                    <a:blip r:embed="rId2"/>
                    <a:stretch>
                      <a:fillRect/>
                    </a:stretch>
                  </pic:blipFill>
                  <pic:spPr>
                    <a:xfrm rot="0">
                      <a:off x="0" y="0"/>
                      <a:ext cx="5486400" cy="3200399"/>
                    </a:xfrm>
                    <a:prstGeom prst="rect"/>
                    <a:noFill/>
                    <a:ln w="9525" cmpd="sng" cap="flat">
                      <a:solidFill>
                        <a:srgbClr val="000000"/>
                      </a:solidFill>
                      <a:prstDash val="solid"/>
                      <a:miter/>
                    </a:ln>
                  </pic:spPr>
                </pic:pic>
              </a:graphicData>
            </a:graphic>
          </wp:anchor>
        </w:drawing>
      </w: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 xml:space="preserve">（二）收入决算情况说明。 </w:t>
      </w:r>
    </w:p>
    <w:p>
      <w:pPr>
        <w:autoSpaceDN w:val="0"/>
        <w:spacing w:line="560" w:lineRule="exact"/>
        <w:ind w:firstLineChars="200" w:firstLine="640"/>
        <w:rPr>
          <w:rFonts w:eastAsia="方正仿宋_GBK"/>
          <w:bCs/>
          <w:kern w:val="0"/>
          <w:sz w:val="32"/>
          <w:szCs w:val="32"/>
        </w:rPr>
      </w:pPr>
      <w:r>
        <w:rPr>
          <w:rFonts w:eastAsia="方正仿宋_GBK"/>
          <w:sz w:val="32"/>
          <w:szCs w:val="32"/>
        </w:rPr>
        <w:t>202</w:t>
      </w:r>
      <w:r>
        <w:rPr>
          <w:rFonts w:eastAsia="方正仿宋_GBK" w:hint="eastAsia"/>
          <w:sz w:val="32"/>
          <w:szCs w:val="32"/>
        </w:rPr>
        <w:t>2年</w:t>
      </w:r>
      <w:r>
        <w:rPr>
          <w:rFonts w:eastAsia="方正仿宋_GBK"/>
          <w:sz w:val="32"/>
          <w:szCs w:val="32"/>
        </w:rPr>
        <w:t>度</w:t>
      </w:r>
      <w:r>
        <w:rPr>
          <w:rFonts w:eastAsia="方正仿宋_GBK" w:hint="eastAsia"/>
          <w:sz w:val="32"/>
          <w:szCs w:val="32"/>
        </w:rPr>
        <w:t>收入</w:t>
      </w:r>
      <w:r>
        <w:rPr>
          <w:rFonts w:eastAsia="方正仿宋_GBK"/>
          <w:sz w:val="32"/>
          <w:szCs w:val="32"/>
        </w:rPr>
        <w:t>合</w:t>
      </w:r>
      <w:r>
        <w:rPr>
          <w:rFonts w:eastAsia="方正仿宋_GBK" w:hint="eastAsia"/>
          <w:sz w:val="32"/>
          <w:szCs w:val="32"/>
        </w:rPr>
        <w:t>计1593.10万元。其中</w:t>
      </w:r>
      <w:r>
        <w:rPr>
          <w:rFonts w:eastAsia="方正仿宋_GBK" w:hint="eastAsia"/>
          <w:b/>
          <w:bCs/>
          <w:sz w:val="32"/>
          <w:szCs w:val="32"/>
        </w:rPr>
        <w:t>：</w:t>
      </w:r>
      <w:r>
        <w:rPr>
          <w:rFonts w:eastAsia="方正仿宋_GBK" w:hint="eastAsia"/>
          <w:bCs/>
          <w:sz w:val="32"/>
          <w:szCs w:val="32"/>
        </w:rPr>
        <w:t>财政拨款收入</w:t>
      </w:r>
      <w:r>
        <w:rPr>
          <w:rFonts w:eastAsia="方正仿宋_GBK" w:hint="eastAsia"/>
          <w:sz w:val="32"/>
          <w:szCs w:val="32"/>
        </w:rPr>
        <w:t>441.60万元，占比27.72%；</w:t>
      </w:r>
      <w:r>
        <w:rPr>
          <w:rFonts w:eastAsia="方正仿宋_GBK" w:hint="eastAsia"/>
          <w:bCs/>
          <w:sz w:val="32"/>
          <w:szCs w:val="32"/>
        </w:rPr>
        <w:t>其他收入</w:t>
      </w:r>
      <w:r>
        <w:rPr>
          <w:rFonts w:eastAsia="方正仿宋_GBK" w:hint="eastAsia"/>
          <w:sz w:val="32"/>
          <w:szCs w:val="32"/>
        </w:rPr>
        <w:t>1151.50</w:t>
      </w:r>
      <w:r>
        <w:rPr>
          <w:rFonts w:eastAsia="方正仿宋_GBK" w:hint="eastAsia"/>
          <w:bCs/>
          <w:kern w:val="0"/>
          <w:sz w:val="32"/>
          <w:szCs w:val="32"/>
        </w:rPr>
        <w:t>万元，占比</w:t>
      </w:r>
      <w:r>
        <w:rPr>
          <w:rFonts w:eastAsia="方正仿宋_GBK" w:hint="eastAsia"/>
          <w:sz w:val="32"/>
          <w:szCs w:val="32"/>
        </w:rPr>
        <w:t>72.28</w:t>
      </w:r>
      <w:r>
        <w:rPr>
          <w:rFonts w:eastAsia="方正仿宋_GBK" w:hint="eastAsia"/>
          <w:bCs/>
          <w:kern w:val="0"/>
          <w:sz w:val="32"/>
          <w:szCs w:val="32"/>
        </w:rPr>
        <w:t>%。</w:t>
      </w:r>
    </w:p>
    <w:p>
      <w:pPr>
        <w:autoSpaceDN w:val="0"/>
        <w:spacing w:line="560" w:lineRule="exact"/>
        <w:ind w:firstLineChars="200" w:firstLine="640"/>
        <w:rPr>
          <w:rFonts w:eastAsia="方正仿宋_GBK"/>
          <w:bCs/>
          <w:kern w:val="0"/>
          <w:sz w:val="32"/>
          <w:szCs w:val="32"/>
        </w:rPr>
      </w:pPr>
    </w:p>
    <w:p>
      <w:pPr>
        <w:autoSpaceDN w:val="0"/>
        <w:spacing w:line="560" w:lineRule="exact"/>
        <w:ind w:firstLineChars="200" w:firstLine="640"/>
        <w:rPr>
          <w:rFonts w:eastAsia="方正仿宋_GBK"/>
          <w:bCs/>
          <w:kern w:val="0"/>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rPr>
          <w:rFonts w:eastAsia="方正仿宋_GBK"/>
          <w:spacing w:val="-6"/>
          <w:sz w:val="32"/>
          <w:szCs w:val="32"/>
        </w:rPr>
      </w:pPr>
    </w:p>
    <w:p>
      <w:pPr>
        <w:autoSpaceDN w:val="0"/>
        <w:spacing w:line="560" w:lineRule="exact"/>
        <w:rPr>
          <w:rFonts w:eastAsia="方正仿宋_GBK"/>
          <w:spacing w:val="-6"/>
          <w:sz w:val="32"/>
          <w:szCs w:val="32"/>
        </w:rPr>
      </w:pPr>
    </w:p>
    <w:p>
      <w:pPr>
        <w:autoSpaceDN w:val="0"/>
        <w:spacing w:line="560" w:lineRule="exact"/>
        <w:rPr>
          <w:rFonts w:eastAsia="方正仿宋_GBK"/>
          <w:spacing w:val="-6"/>
          <w:sz w:val="32"/>
          <w:szCs w:val="32"/>
        </w:rPr>
      </w:pPr>
    </w:p>
    <w:p>
      <w:pPr>
        <w:autoSpaceDN w:val="0"/>
        <w:spacing w:line="560" w:lineRule="exact"/>
        <w:rPr>
          <w:rFonts w:eastAsia="方正仿宋_GBK"/>
          <w:spacing w:val="-6"/>
          <w:sz w:val="32"/>
          <w:szCs w:val="32"/>
        </w:rPr>
      </w:pPr>
      <w:r>
        <w:rPr>
          <w:rFonts w:eastAsia="方正仿宋_GBK"/>
          <w:spacing w:val="-6"/>
          <w:sz w:val="32"/>
          <w:szCs w:val="32"/>
        </w:rPr>
        <w:drawing>
          <wp:anchor distT="0" distB="0" distL="114300" distR="114300" simplePos="0" relativeHeight="20" behindDoc="0" locked="0" layoutInCell="1" hidden="0" allowOverlap="1">
            <wp:simplePos x="0" y="0"/>
            <wp:positionH relativeFrom="column">
              <wp:posOffset>19050</wp:posOffset>
            </wp:positionH>
            <wp:positionV relativeFrom="paragraph">
              <wp:posOffset>-2915285</wp:posOffset>
            </wp:positionV>
            <wp:extent cx="5486400" cy="3200400"/>
            <wp:effectExtent l="0" t="0" r="0" b="0"/>
            <wp:wrapNone/>
            <wp:docPr id="4" name="图片 4"/>
            <wp:cNvGraphicFramePr>
              <a:graphicFrameLocks noChangeAspect="0"/>
            </wp:cNvGraphicFramePr>
            <a:graphic>
              <a:graphicData uri="http://schemas.openxmlformats.org/drawingml/2006/picture">
                <pic:pic>
                  <pic:nvPicPr>
                    <pic:cNvPr id="6" name="图片 6"/>
                    <pic:cNvPicPr/>
                  </pic:nvPicPr>
                  <pic:blipFill>
                    <a:blip r:embed="rId3"/>
                    <a:stretch>
                      <a:fillRect/>
                    </a:stretch>
                  </pic:blipFill>
                  <pic:spPr>
                    <a:xfrm rot="0">
                      <a:off x="0" y="0"/>
                      <a:ext cx="5486400" cy="3200400"/>
                    </a:xfrm>
                    <a:prstGeom prst="rect"/>
                    <a:noFill/>
                    <a:ln w="9525" cmpd="sng" cap="flat">
                      <a:solidFill>
                        <a:srgbClr val="000000"/>
                      </a:solidFill>
                      <a:prstDash val="solid"/>
                      <a:miter/>
                    </a:ln>
                  </pic:spPr>
                </pic:pic>
              </a:graphicData>
            </a:graphic>
          </wp:anchor>
        </w:drawing>
      </w:r>
    </w:p>
    <w:p>
      <w:pPr>
        <w:autoSpaceDN w:val="0"/>
        <w:spacing w:line="560" w:lineRule="exact"/>
        <w:ind w:firstLineChars="200" w:firstLine="640"/>
        <w:rPr>
          <w:rFonts w:eastAsia="方正仿宋_GBK"/>
          <w:spacing w:val="-6"/>
          <w:sz w:val="32"/>
          <w:szCs w:val="32"/>
        </w:rPr>
      </w:pPr>
      <w:r>
        <w:rPr>
          <w:rFonts w:ascii="方正楷体_GBK" w:eastAsia="方正楷体_GBK" w:hint="eastAsia"/>
          <w:b/>
          <w:bCs/>
          <w:sz w:val="32"/>
          <w:szCs w:val="32"/>
        </w:rPr>
        <w:t>（三）支出决算情况说明。</w:t>
      </w:r>
    </w:p>
    <w:p>
      <w:pPr>
        <w:autoSpaceDN w:val="0"/>
        <w:spacing w:line="560" w:lineRule="exact"/>
        <w:ind w:firstLineChars="200" w:firstLine="640"/>
        <w:rPr>
          <w:rFonts w:eastAsia="方正仿宋_GBK"/>
          <w:sz w:val="32"/>
          <w:szCs w:val="32"/>
        </w:rPr>
      </w:pPr>
      <w:r>
        <w:rPr>
          <w:rFonts w:eastAsia="方正仿宋_GBK"/>
          <w:sz w:val="32"/>
          <w:szCs w:val="32"/>
        </w:rPr>
        <w:t>20</w:t>
      </w:r>
      <w:r>
        <w:rPr>
          <w:rFonts w:eastAsia="方正仿宋_GBK" w:hint="eastAsia"/>
          <w:sz w:val="32"/>
          <w:szCs w:val="32"/>
        </w:rPr>
        <w:t>22年度支出合计977.08万元，其中：基本支出901.08万元，占92.22%；项目支出76.00万元，占7.78%.</w:t>
      </w:r>
    </w:p>
    <w:p>
      <w:pPr>
        <w:autoSpaceDN w:val="0"/>
        <w:spacing w:line="560" w:lineRule="exact"/>
        <w:ind w:firstLineChars="200" w:firstLine="640"/>
        <w:rPr>
          <w:rFonts w:eastAsia="方正仿宋_GBK"/>
          <w:sz w:val="32"/>
          <w:szCs w:val="32"/>
        </w:rPr>
      </w:pP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图3：支出决算</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drawing>
          <wp:anchor distT="0" distB="0" distL="114300" distR="114300" simplePos="0" relativeHeight="16" behindDoc="0" locked="0" layoutInCell="1" hidden="0" allowOverlap="1">
            <wp:simplePos x="0" y="0"/>
            <wp:positionH relativeFrom="column">
              <wp:posOffset>647700</wp:posOffset>
            </wp:positionH>
            <wp:positionV relativeFrom="paragraph">
              <wp:posOffset>189864</wp:posOffset>
            </wp:positionV>
            <wp:extent cx="4561205" cy="3313429"/>
            <wp:effectExtent l="0" t="0" r="0" b="0"/>
            <wp:wrapNone/>
            <wp:docPr id="7" name="图片 7" descr="4478497001626936658885"/>
            <wp:cNvGraphicFramePr>
              <a:graphicFrameLocks noChangeAspect="1"/>
            </wp:cNvGraphicFramePr>
            <a:graphic>
              <a:graphicData uri="http://schemas.openxmlformats.org/drawingml/2006/picture">
                <pic:pic>
                  <pic:nvPicPr>
                    <pic:cNvPr id="9" name="图片 9"/>
                    <pic:cNvPicPr/>
                  </pic:nvPicPr>
                  <pic:blipFill>
                    <a:blip r:embed="rId4"/>
                    <a:stretch>
                      <a:fillRect/>
                    </a:stretch>
                  </pic:blipFill>
                  <pic:spPr>
                    <a:xfrm rot="0">
                      <a:off x="0" y="0"/>
                      <a:ext cx="4561205" cy="3313429"/>
                    </a:xfrm>
                    <a:prstGeom prst="rect"/>
                    <a:noFill/>
                    <a:ln w="9525" cmpd="sng" cap="flat">
                      <a:solidFill>
                        <a:srgbClr val="000000"/>
                      </a:solidFill>
                      <a:prstDash val="solid"/>
                      <a:miter/>
                    </a:ln>
                  </pic:spPr>
                </pic:pic>
              </a:graphicData>
            </a:graphic>
          </wp:anchor>
        </w:drawing>
      </w: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rPr>
          <w:rFonts w:eastAsia="方正仿宋_GBK"/>
          <w:kern w:val="0"/>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（四）财政拨款收入支出决算总体情况说明。</w:t>
      </w:r>
    </w:p>
    <w:p>
      <w:pPr>
        <w:autoSpaceDN w:val="0"/>
        <w:spacing w:line="560" w:lineRule="exact"/>
        <w:ind w:firstLineChars="200" w:firstLine="640"/>
        <w:rPr>
          <w:rFonts w:ascii="仿宋_GB2312" w:eastAsia="仿宋_GB2312"/>
          <w:sz w:val="32"/>
          <w:szCs w:val="32"/>
        </w:rPr>
      </w:pPr>
      <w:r>
        <w:rPr>
          <w:rFonts w:eastAsia="方正仿宋_GBK" w:hint="eastAsia"/>
          <w:sz w:val="32"/>
          <w:szCs w:val="32"/>
        </w:rPr>
        <w:t>2022年度财政拨款收、支总计441.60万元。与2021年度相比，财政拨款收、支总计各增加30.93万元，上涨7.53%，主要</w:t>
      </w:r>
      <w:r>
        <w:rPr>
          <w:rFonts w:eastAsia="方正仿宋_GBK"/>
          <w:sz w:val="32"/>
          <w:szCs w:val="32"/>
        </w:rPr>
        <w:t>原因是</w:t>
      </w:r>
      <w:r>
        <w:rPr>
          <w:rFonts w:eastAsia="方正仿宋_GBK" w:hint="eastAsia"/>
          <w:sz w:val="32"/>
          <w:szCs w:val="32"/>
        </w:rPr>
        <w:t>2022年较2021年人员经费及公用经费受在职关员人数影响有所增加。</w:t>
      </w:r>
    </w:p>
    <w:p>
      <w:pPr>
        <w:autoSpaceDN w:val="0"/>
        <w:spacing w:line="560" w:lineRule="exact"/>
        <w:ind w:firstLineChars="200" w:firstLine="640"/>
        <w:rPr>
          <w:rFonts w:eastAsia="方正仿宋_GBK"/>
          <w:sz w:val="32"/>
          <w:szCs w:val="32"/>
        </w:rPr>
      </w:pP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图4：财政拨款收、支决算总计变动情况</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eastAsia="方正仿宋_GBK"/>
          <w:sz w:val="32"/>
          <w:szCs w:val="32"/>
        </w:rPr>
      </w:pPr>
      <w:r>
        <w:rPr>
          <w:rFonts w:eastAsia="方正仿宋_GBK"/>
          <w:sz w:val="32"/>
          <w:szCs w:val="32"/>
        </w:rPr>
        <w:drawing>
          <wp:anchor distT="0" distB="0" distL="114300" distR="114300" simplePos="0" relativeHeight="17" behindDoc="0" locked="0" layoutInCell="1" hidden="0" allowOverlap="1">
            <wp:simplePos x="0" y="0"/>
            <wp:positionH relativeFrom="column">
              <wp:posOffset>123825</wp:posOffset>
            </wp:positionH>
            <wp:positionV relativeFrom="paragraph">
              <wp:posOffset>-2912110</wp:posOffset>
            </wp:positionV>
            <wp:extent cx="5486400" cy="3200400"/>
            <wp:effectExtent l="0" t="0" r="0" b="0"/>
            <wp:wrapNone/>
            <wp:docPr id="10" name="图片 10"/>
            <wp:cNvGraphicFramePr>
              <a:graphicFrameLocks noChangeAspect="0"/>
            </wp:cNvGraphicFramePr>
            <a:graphic>
              <a:graphicData uri="http://schemas.openxmlformats.org/drawingml/2006/picture">
                <pic:pic>
                  <pic:nvPicPr>
                    <pic:cNvPr id="12" name="图片 12"/>
                    <pic:cNvPicPr/>
                  </pic:nvPicPr>
                  <pic:blipFill>
                    <a:blip r:embed="rId5"/>
                    <a:stretch>
                      <a:fillRect/>
                    </a:stretch>
                  </pic:blipFill>
                  <pic:spPr>
                    <a:xfrm rot="0">
                      <a:off x="0" y="0"/>
                      <a:ext cx="5486400" cy="3200400"/>
                    </a:xfrm>
                    <a:prstGeom prst="rect"/>
                    <a:noFill/>
                    <a:ln w="9525" cmpd="sng" cap="flat">
                      <a:solidFill>
                        <a:srgbClr val="000000"/>
                      </a:solidFill>
                      <a:prstDash val="solid"/>
                      <a:miter/>
                    </a:ln>
                  </pic:spPr>
                </pic:pic>
              </a:graphicData>
            </a:graphic>
          </wp:anchor>
        </w:drawing>
      </w: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（五）一般公共预算财政拨款支出决算情况说明。</w:t>
      </w:r>
    </w:p>
    <w:p>
      <w:pPr>
        <w:numPr>
          <w:ilvl w:val="0"/>
          <w:numId w:val="1"/>
        </w:numPr>
        <w:autoSpaceDN w:val="0"/>
        <w:spacing w:line="560" w:lineRule="exact"/>
        <w:rPr>
          <w:rFonts w:eastAsia="方正仿宋_GBK"/>
          <w:kern w:val="0"/>
          <w:sz w:val="32"/>
          <w:szCs w:val="32"/>
        </w:rPr>
      </w:pPr>
      <w:r>
        <w:rPr>
          <w:rFonts w:eastAsia="方正仿宋_GBK" w:hint="eastAsia"/>
          <w:kern w:val="0"/>
          <w:sz w:val="32"/>
          <w:szCs w:val="32"/>
        </w:rPr>
        <w:t>财政拨款支出决算总体情况。</w:t>
      </w:r>
    </w:p>
    <w:p>
      <w:pPr>
        <w:autoSpaceDN w:val="0"/>
        <w:spacing w:line="560" w:lineRule="exact"/>
        <w:ind w:firstLineChars="200" w:firstLine="640"/>
        <w:rPr>
          <w:rFonts w:eastAsia="方正仿宋_GBK"/>
          <w:sz w:val="32"/>
          <w:szCs w:val="32"/>
        </w:rPr>
      </w:pPr>
      <w:r>
        <w:rPr>
          <w:rFonts w:eastAsia="方正仿宋_GBK" w:hint="eastAsia"/>
          <w:kern w:val="0"/>
          <w:sz w:val="32"/>
          <w:szCs w:val="32"/>
        </w:rPr>
        <w:t>2022年度财政拨款支出</w:t>
      </w:r>
      <w:r>
        <w:rPr>
          <w:rFonts w:eastAsia="方正仿宋_GBK" w:hint="eastAsia"/>
          <w:sz w:val="32"/>
          <w:szCs w:val="32"/>
        </w:rPr>
        <w:t>441.60</w:t>
      </w:r>
      <w:r>
        <w:rPr>
          <w:rFonts w:eastAsia="方正仿宋_GBK" w:hint="eastAsia"/>
          <w:kern w:val="0"/>
          <w:sz w:val="32"/>
          <w:szCs w:val="32"/>
        </w:rPr>
        <w:t>万元，占本年支出合计的</w:t>
      </w:r>
      <w:r>
        <w:rPr>
          <w:rFonts w:eastAsia="方正仿宋_GBK" w:hint="eastAsia"/>
          <w:sz w:val="32"/>
          <w:szCs w:val="32"/>
        </w:rPr>
        <w:t>45.20</w:t>
      </w:r>
      <w:r>
        <w:rPr>
          <w:rFonts w:eastAsia="方正仿宋_GBK" w:hint="eastAsia"/>
          <w:kern w:val="0"/>
          <w:sz w:val="32"/>
          <w:szCs w:val="32"/>
        </w:rPr>
        <w:t>%。与2021年度相比，财政拨款支出增加30.93万元，上涨7.53%，</w:t>
      </w:r>
      <w:r>
        <w:rPr>
          <w:rFonts w:eastAsia="方正仿宋_GBK" w:hint="eastAsia"/>
          <w:sz w:val="32"/>
          <w:szCs w:val="32"/>
        </w:rPr>
        <w:t>主要是2022年较2021年人员经费及公用经费受在职关员人数影响有所增加。</w:t>
      </w:r>
    </w:p>
    <w:p>
      <w:pPr>
        <w:autoSpaceDN w:val="0"/>
        <w:spacing w:line="560" w:lineRule="exact"/>
        <w:ind w:firstLineChars="200" w:firstLine="640"/>
        <w:rPr>
          <w:rFonts w:eastAsia="方正仿宋_GBK"/>
          <w:sz w:val="32"/>
          <w:szCs w:val="32"/>
        </w:rPr>
      </w:pPr>
    </w:p>
    <w:p>
      <w:pPr>
        <w:autoSpaceDN w:val="0"/>
        <w:spacing w:line="560" w:lineRule="exact"/>
        <w:ind w:left="0"/>
        <w:rPr>
          <w:rFonts w:eastAsia="方正仿宋_GBK"/>
          <w:sz w:val="32"/>
          <w:szCs w:val="32"/>
        </w:rPr>
      </w:pPr>
    </w:p>
    <w:p>
      <w:pPr>
        <w:autoSpaceDN w:val="0"/>
        <w:spacing w:line="560" w:lineRule="exact"/>
        <w:ind w:left="0"/>
        <w:rPr>
          <w:rFonts w:eastAsia="方正仿宋_GBK"/>
          <w:sz w:val="32"/>
          <w:szCs w:val="32"/>
        </w:rPr>
      </w:pP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图5：财政拨款支出决算变动情况</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eastAsia="方正仿宋_GBK"/>
          <w:sz w:val="32"/>
          <w:szCs w:val="32"/>
        </w:rPr>
      </w:pPr>
      <w:r>
        <w:rPr>
          <w:rFonts w:eastAsia="方正仿宋_GBK"/>
          <w:sz w:val="32"/>
          <w:szCs w:val="32"/>
        </w:rPr>
        <w:drawing>
          <wp:anchor distT="0" distB="0" distL="114300" distR="114300" simplePos="0" relativeHeight="19" behindDoc="0" locked="0" layoutInCell="1" hidden="0" allowOverlap="1">
            <wp:simplePos x="0" y="0"/>
            <wp:positionH relativeFrom="column">
              <wp:posOffset>123825</wp:posOffset>
            </wp:positionH>
            <wp:positionV relativeFrom="paragraph">
              <wp:posOffset>-2915285</wp:posOffset>
            </wp:positionV>
            <wp:extent cx="5486400" cy="3200400"/>
            <wp:effectExtent l="0" t="0" r="0" b="0"/>
            <wp:wrapNone/>
            <wp:docPr id="13" name="图片 13"/>
            <wp:cNvGraphicFramePr>
              <a:graphicFrameLocks noChangeAspect="0"/>
            </wp:cNvGraphicFramePr>
            <a:graphic>
              <a:graphicData uri="http://schemas.openxmlformats.org/drawingml/2006/picture">
                <pic:pic>
                  <pic:nvPicPr>
                    <pic:cNvPr id="15" name="图片 15"/>
                    <pic:cNvPicPr/>
                  </pic:nvPicPr>
                  <pic:blipFill>
                    <a:blip r:embed="rId6"/>
                    <a:stretch>
                      <a:fillRect/>
                    </a:stretch>
                  </pic:blipFill>
                  <pic:spPr>
                    <a:xfrm rot="0">
                      <a:off x="0" y="0"/>
                      <a:ext cx="5486400" cy="3200400"/>
                    </a:xfrm>
                    <a:prstGeom prst="rect"/>
                    <a:noFill/>
                    <a:ln w="9525" cmpd="sng" cap="flat">
                      <a:solidFill>
                        <a:srgbClr val="000000"/>
                      </a:solidFill>
                      <a:prstDash val="solid"/>
                      <a:miter/>
                    </a:ln>
                  </pic:spPr>
                </pic:pic>
              </a:graphicData>
            </a:graphic>
          </wp:anchor>
        </w:drawing>
      </w:r>
    </w:p>
    <w:p>
      <w:pPr>
        <w:numPr>
          <w:ilvl w:val="0"/>
          <w:numId w:val="1"/>
        </w:numPr>
        <w:autoSpaceDN w:val="0"/>
        <w:spacing w:line="560" w:lineRule="exact"/>
        <w:rPr>
          <w:rFonts w:eastAsia="方正仿宋_GBK"/>
          <w:kern w:val="0"/>
          <w:sz w:val="32"/>
          <w:szCs w:val="32"/>
        </w:rPr>
      </w:pPr>
      <w:r>
        <w:rPr>
          <w:rFonts w:eastAsia="方正仿宋_GBK" w:hint="eastAsia"/>
          <w:kern w:val="0"/>
          <w:sz w:val="32"/>
          <w:szCs w:val="32"/>
        </w:rPr>
        <w:t>财政拨款支出决算结构情况。</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2022年度财政拨款支出</w:t>
      </w:r>
      <w:r>
        <w:rPr>
          <w:rFonts w:eastAsia="方正仿宋_GBK" w:hint="eastAsia"/>
          <w:sz w:val="32"/>
          <w:szCs w:val="32"/>
        </w:rPr>
        <w:t>441.60</w:t>
      </w:r>
      <w:r>
        <w:rPr>
          <w:rFonts w:eastAsia="方正仿宋_GBK" w:hint="eastAsia"/>
          <w:kern w:val="0"/>
          <w:sz w:val="32"/>
          <w:szCs w:val="32"/>
        </w:rPr>
        <w:t>万元，主要用于以下方面：一般公共服务（类）支出</w:t>
      </w:r>
      <w:r>
        <w:rPr>
          <w:rFonts w:eastAsia="方正仿宋_GBK" w:hint="eastAsia"/>
          <w:sz w:val="32"/>
          <w:szCs w:val="32"/>
        </w:rPr>
        <w:t>441.60</w:t>
      </w:r>
      <w:r>
        <w:rPr>
          <w:rFonts w:eastAsia="方正仿宋_GBK" w:hint="eastAsia"/>
          <w:kern w:val="0"/>
          <w:sz w:val="32"/>
          <w:szCs w:val="32"/>
        </w:rPr>
        <w:t>万元，占</w:t>
      </w:r>
      <w:r>
        <w:rPr>
          <w:rFonts w:eastAsia="方正仿宋_GBK" w:hint="eastAsia"/>
          <w:sz w:val="32"/>
          <w:szCs w:val="32"/>
        </w:rPr>
        <w:t>100.00</w:t>
      </w:r>
      <w:r>
        <w:rPr>
          <w:rFonts w:eastAsia="方正仿宋_GBK" w:hint="eastAsia"/>
          <w:kern w:val="0"/>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图6：财政拨款支出决算结构情况</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autoSpaceDN w:val="0"/>
        <w:spacing w:line="560" w:lineRule="exact"/>
        <w:ind w:left="1000"/>
        <w:rPr>
          <w:rFonts w:ascii="方正楷体_GBK" w:eastAsia="方正楷体_GBK"/>
          <w:b/>
          <w:bCs/>
          <w:sz w:val="32"/>
          <w:szCs w:val="32"/>
        </w:rPr>
      </w:pPr>
      <w:r>
        <w:rPr>
          <w:rFonts w:ascii="方正楷体_GBK" w:eastAsia="方正楷体_GBK"/>
          <w:b/>
          <w:bCs/>
          <w:sz w:val="32"/>
          <w:szCs w:val="32"/>
        </w:rPr>
        <w:drawing>
          <wp:anchor distT="0" distB="0" distL="114300" distR="114300" simplePos="0" relativeHeight="15" behindDoc="0" locked="0" layoutInCell="1" hidden="0" allowOverlap="1">
            <wp:simplePos x="0" y="0"/>
            <wp:positionH relativeFrom="column">
              <wp:posOffset>561311</wp:posOffset>
            </wp:positionH>
            <wp:positionV relativeFrom="paragraph">
              <wp:posOffset>143791</wp:posOffset>
            </wp:positionV>
            <wp:extent cx="4745916" cy="2615609"/>
            <wp:effectExtent l="0" t="0" r="0" b="0"/>
            <wp:wrapNone/>
            <wp:docPr id="16" name="图片 16"/>
            <wp:cNvGraphicFramePr>
              <a:graphicFrameLocks noChangeAspect="0"/>
            </wp:cNvGraphicFramePr>
            <a:graphic>
              <a:graphicData uri="http://schemas.openxmlformats.org/drawingml/2006/picture">
                <pic:pic>
                  <pic:nvPicPr>
                    <pic:cNvPr id="18" name="图片 18"/>
                    <pic:cNvPicPr/>
                  </pic:nvPicPr>
                  <pic:blipFill>
                    <a:blip r:embed="rId7"/>
                    <a:stretch>
                      <a:fillRect/>
                    </a:stretch>
                  </pic:blipFill>
                  <pic:spPr>
                    <a:xfrm rot="0">
                      <a:off x="0" y="0"/>
                      <a:ext cx="4745916" cy="2615609"/>
                    </a:xfrm>
                    <a:prstGeom prst="rect"/>
                    <a:noFill/>
                    <a:ln w="9525" cmpd="sng" cap="flat">
                      <a:solidFill>
                        <a:srgbClr val="000000"/>
                      </a:solidFill>
                      <a:prstDash val="solid"/>
                      <a:miter/>
                    </a:ln>
                  </pic:spPr>
                </pic:pic>
              </a:graphicData>
            </a:graphic>
          </wp:anchor>
        </w:drawing>
      </w:r>
    </w:p>
    <w:p>
      <w:pPr>
        <w:autoSpaceDN w:val="0"/>
        <w:spacing w:line="560" w:lineRule="exact"/>
        <w:ind w:left="1000"/>
        <w:rPr>
          <w:rFonts w:ascii="方正楷体_GBK" w:eastAsia="方正楷体_GBK"/>
          <w:b/>
          <w:bCs/>
          <w:sz w:val="32"/>
          <w:szCs w:val="32"/>
        </w:rPr>
      </w:pPr>
    </w:p>
    <w:p>
      <w:pPr>
        <w:tabs>
          <w:tab w:val="left" w:pos="4157"/>
        </w:tabs>
        <w:autoSpaceDN w:val="0"/>
        <w:spacing w:line="560" w:lineRule="exact"/>
        <w:rPr>
          <w:rFonts w:eastAsia="方正仿宋_GBK"/>
          <w:kern w:val="0"/>
          <w:sz w:val="32"/>
          <w:szCs w:val="32"/>
        </w:rPr>
      </w:pPr>
    </w:p>
    <w:p>
      <w:pPr>
        <w:tabs>
          <w:tab w:val="left" w:pos="4157"/>
        </w:tabs>
        <w:autoSpaceDN w:val="0"/>
        <w:spacing w:line="560" w:lineRule="exact"/>
        <w:ind w:firstLineChars="200" w:firstLine="640"/>
        <w:rPr>
          <w:rFonts w:eastAsia="方正仿宋_GBK"/>
          <w:kern w:val="0"/>
          <w:sz w:val="32"/>
          <w:szCs w:val="32"/>
        </w:rPr>
      </w:pPr>
    </w:p>
    <w:p>
      <w:pPr>
        <w:tabs>
          <w:tab w:val="left" w:pos="4157"/>
        </w:tabs>
        <w:autoSpaceDN w:val="0"/>
        <w:spacing w:line="560" w:lineRule="exact"/>
        <w:ind w:firstLineChars="200" w:firstLine="640"/>
        <w:rPr>
          <w:rFonts w:eastAsia="方正仿宋_GBK"/>
          <w:kern w:val="0"/>
          <w:sz w:val="32"/>
          <w:szCs w:val="32"/>
        </w:rPr>
      </w:pPr>
    </w:p>
    <w:p>
      <w:pPr>
        <w:tabs>
          <w:tab w:val="left" w:pos="4157"/>
        </w:tabs>
        <w:autoSpaceDN w:val="0"/>
        <w:spacing w:line="560" w:lineRule="exact"/>
        <w:ind w:left="0"/>
        <w:rPr>
          <w:rFonts w:eastAsia="方正仿宋_GBK"/>
          <w:kern w:val="0"/>
          <w:sz w:val="32"/>
          <w:szCs w:val="32"/>
        </w:rPr>
      </w:pP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3.财政拨款支出决算具体情况。</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2022年度财政拨款支出年初预算为</w:t>
      </w:r>
      <w:r>
        <w:rPr>
          <w:rFonts w:eastAsia="方正仿宋_GBK" w:hint="eastAsia"/>
          <w:sz w:val="32"/>
          <w:szCs w:val="32"/>
        </w:rPr>
        <w:t>438.77</w:t>
      </w:r>
      <w:r>
        <w:rPr>
          <w:rFonts w:eastAsia="方正仿宋_GBK" w:hint="eastAsia"/>
          <w:kern w:val="0"/>
          <w:sz w:val="32"/>
          <w:szCs w:val="32"/>
        </w:rPr>
        <w:t>万元，支出决算为</w:t>
      </w:r>
      <w:r>
        <w:rPr>
          <w:rFonts w:eastAsia="方正仿宋_GBK" w:hint="eastAsia"/>
          <w:sz w:val="32"/>
          <w:szCs w:val="32"/>
        </w:rPr>
        <w:t>441.60</w:t>
      </w:r>
      <w:r>
        <w:rPr>
          <w:rFonts w:eastAsia="方正仿宋_GBK" w:hint="eastAsia"/>
          <w:kern w:val="0"/>
          <w:sz w:val="32"/>
          <w:szCs w:val="32"/>
        </w:rPr>
        <w:t>万元，完成年初预算的</w:t>
      </w:r>
      <w:r>
        <w:rPr>
          <w:rFonts w:eastAsia="方正仿宋_GBK" w:hint="eastAsia"/>
          <w:sz w:val="32"/>
          <w:szCs w:val="32"/>
        </w:rPr>
        <w:t>100.64</w:t>
      </w:r>
      <w:r>
        <w:rPr>
          <w:rFonts w:eastAsia="方正仿宋_GBK" w:hint="eastAsia"/>
          <w:kern w:val="0"/>
          <w:sz w:val="32"/>
          <w:szCs w:val="32"/>
        </w:rPr>
        <w:t>%，原因为年初预算后期追加人员经费预算。其中：</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（1）</w:t>
      </w:r>
      <w:r>
        <w:rPr>
          <w:rFonts w:eastAsia="方正仿宋_GBK" w:hint="eastAsia"/>
          <w:bCs/>
          <w:kern w:val="0"/>
          <w:sz w:val="32"/>
          <w:szCs w:val="32"/>
        </w:rPr>
        <w:t>一般公共服务支出（类）海关事务（款）行政运行（项）</w:t>
      </w:r>
      <w:r>
        <w:rPr>
          <w:rFonts w:eastAsia="方正仿宋_GBK" w:hint="eastAsia"/>
          <w:kern w:val="0"/>
          <w:sz w:val="32"/>
          <w:szCs w:val="32"/>
        </w:rPr>
        <w:t>年初预算为362.77万元，调整预算数为365.60万元，支出决算为365.60万元，完成年初预算的100.78%。原因为年初预算后期追加人员经费预算。</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w:t>
      </w:r>
      <w:r>
        <w:rPr>
          <w:rFonts w:eastAsia="方正仿宋_GBK" w:hint="eastAsia"/>
          <w:bCs/>
          <w:kern w:val="0"/>
          <w:sz w:val="32"/>
          <w:szCs w:val="32"/>
        </w:rPr>
        <w:t>一般公共服务支出（类）海关事务（款）海关关务（项）</w:t>
      </w:r>
      <w:r>
        <w:rPr>
          <w:rFonts w:eastAsia="方正仿宋_GBK" w:hint="eastAsia"/>
          <w:kern w:val="0"/>
          <w:sz w:val="32"/>
          <w:szCs w:val="32"/>
        </w:rPr>
        <w:t>年初预算为71.00万元，支出决算为71.00万元，完成年初预算的100%。</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（3）</w:t>
      </w:r>
      <w:r>
        <w:rPr>
          <w:rFonts w:eastAsia="方正仿宋_GBK" w:hint="eastAsia"/>
          <w:bCs/>
          <w:kern w:val="0"/>
          <w:sz w:val="32"/>
          <w:szCs w:val="32"/>
        </w:rPr>
        <w:t>一般公共服务支出（类）海关事务（款）海关监管（项）</w:t>
      </w:r>
      <w:r>
        <w:rPr>
          <w:rFonts w:eastAsia="方正仿宋_GBK" w:hint="eastAsia"/>
          <w:kern w:val="0"/>
          <w:sz w:val="32"/>
          <w:szCs w:val="32"/>
        </w:rPr>
        <w:t>年初预算为3.00万元，支出决算为3.00万元，完成年初预算的100%。</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（4）</w:t>
      </w:r>
      <w:r>
        <w:rPr>
          <w:rFonts w:eastAsia="方正仿宋_GBK" w:hint="eastAsia"/>
          <w:bCs/>
          <w:kern w:val="0"/>
          <w:sz w:val="32"/>
          <w:szCs w:val="32"/>
        </w:rPr>
        <w:t>一般公共服务支出（类）海关事务（款）检验检疫（项）</w:t>
      </w:r>
      <w:r>
        <w:rPr>
          <w:rFonts w:eastAsia="方正仿宋_GBK" w:hint="eastAsia"/>
          <w:kern w:val="0"/>
          <w:sz w:val="32"/>
          <w:szCs w:val="32"/>
        </w:rPr>
        <w:t>年初预算为2.00万元，支出决算为2.00万元，完成年初预算的100%。</w:t>
      </w:r>
    </w:p>
    <w:p>
      <w:pPr>
        <w:tabs>
          <w:tab w:val="left" w:pos="4157"/>
        </w:tabs>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（六）一般公共预算财政拨款基本支出决算情况说明。</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基本支出365.60万元，其中：人员经费296.26万元，主要包括基本工资、津贴补贴、奖金；公用经费69.34万元，主要包括办公费、水费、电费、邮电费、差旅费、专用材料费、委托业务费、工会经费、福利费、其他交通费用、其他商品和服务支出。</w:t>
      </w:r>
    </w:p>
    <w:p>
      <w:pPr>
        <w:tabs>
          <w:tab w:val="left" w:pos="4157"/>
        </w:tabs>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（七）一般公共预算财政拨款“三公”经费支出决算情况说明。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1.</w:t>
      </w:r>
      <w:r>
        <w:rPr>
          <w:rFonts w:ascii="方正楷体_GBK" w:eastAsia="方正楷体_GBK" w:hint="eastAsia"/>
          <w:bCs/>
          <w:kern w:val="0"/>
          <w:sz w:val="32"/>
          <w:szCs w:val="32"/>
        </w:rPr>
        <w:t>“三</w:t>
      </w:r>
      <w:r>
        <w:rPr>
          <w:rFonts w:eastAsia="方正仿宋_GBK" w:hint="eastAsia"/>
          <w:kern w:val="0"/>
          <w:sz w:val="32"/>
          <w:szCs w:val="32"/>
        </w:rPr>
        <w:t>公”经费财政拨款支出决算总体情况说明。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2022年度“三公”经费财政拨款支出预算为17.00万元，支出决算为12.73万元，完成预算的74.88%。决算数小于预算数的主要原因是因疫情影响，</w:t>
      </w:r>
      <w:r>
        <w:rPr>
          <w:rFonts w:ascii="方正仿宋_GBK" w:eastAsia="方正仿宋_GBK" w:hint="eastAsia"/>
          <w:sz w:val="32"/>
          <w:szCs w:val="32"/>
        </w:rPr>
        <w:t>自11月起外出执法执勤频率大幅降低，导致</w:t>
      </w:r>
      <w:r>
        <w:rPr>
          <w:rFonts w:eastAsia="方正仿宋_GBK" w:hint="eastAsia"/>
          <w:kern w:val="0"/>
          <w:sz w:val="32"/>
          <w:szCs w:val="32"/>
        </w:rPr>
        <w:t>公车运维费支出减少。</w:t>
      </w:r>
    </w:p>
    <w:p>
      <w:pPr>
        <w:autoSpaceDN w:val="0"/>
        <w:spacing w:line="560" w:lineRule="exact"/>
        <w:ind w:firstLineChars="200" w:firstLine="640"/>
        <w:rPr>
          <w:rFonts w:ascii="方正仿宋_GBK" w:eastAsia="方正仿宋_GBK"/>
          <w:kern w:val="0"/>
          <w:sz w:val="32"/>
          <w:szCs w:val="32"/>
        </w:rPr>
      </w:pPr>
      <w:r>
        <w:rPr>
          <w:rFonts w:eastAsia="方正仿宋_GBK" w:hint="eastAsia"/>
          <w:kern w:val="0"/>
          <w:sz w:val="32"/>
          <w:szCs w:val="32"/>
        </w:rPr>
        <w:t>2.</w:t>
      </w:r>
      <w:r>
        <w:rPr>
          <w:rFonts w:ascii="方正仿宋_GBK" w:eastAsia="方正仿宋_GBK" w:hint="eastAsia"/>
          <w:bCs/>
          <w:kern w:val="0"/>
          <w:sz w:val="32"/>
          <w:szCs w:val="32"/>
        </w:rPr>
        <w:t>“三</w:t>
      </w:r>
      <w:r>
        <w:rPr>
          <w:rFonts w:ascii="方正仿宋_GBK" w:eastAsia="方正仿宋_GBK" w:hint="eastAsia"/>
          <w:kern w:val="0"/>
          <w:sz w:val="32"/>
          <w:szCs w:val="32"/>
        </w:rPr>
        <w:t>公”经费财政拨款支出决算具体情况说明。</w:t>
      </w:r>
    </w:p>
    <w:p>
      <w:pPr>
        <w:autoSpaceDN w:val="0"/>
        <w:spacing w:line="560" w:lineRule="exact"/>
        <w:ind w:firstLineChars="200" w:firstLine="640"/>
        <w:rPr>
          <w:rFonts w:ascii="方正仿宋_GBK" w:eastAsia="方正仿宋_GBK"/>
          <w:kern w:val="0"/>
          <w:sz w:val="32"/>
          <w:szCs w:val="32"/>
        </w:rPr>
      </w:pPr>
      <w:r>
        <w:rPr>
          <w:rFonts w:ascii="方正仿宋_GBK" w:eastAsia="方正仿宋_GBK" w:hint="eastAsia"/>
          <w:kern w:val="0"/>
          <w:sz w:val="32"/>
          <w:szCs w:val="32"/>
        </w:rPr>
        <w:t>（1）无因公出国（境）费预算，全年无因公出国（境）费支出。</w:t>
      </w:r>
    </w:p>
    <w:p>
      <w:pPr>
        <w:autoSpaceDN w:val="0"/>
        <w:spacing w:line="560" w:lineRule="exact"/>
        <w:ind w:firstLineChars="200" w:firstLine="640"/>
        <w:rPr>
          <w:rFonts w:eastAsia="方正仿宋_GBK"/>
          <w:sz w:val="32"/>
          <w:szCs w:val="32"/>
        </w:rPr>
      </w:pPr>
      <w:r>
        <w:rPr>
          <w:rFonts w:ascii="方正仿宋_GBK" w:eastAsia="方正仿宋_GBK" w:hint="eastAsia"/>
          <w:kern w:val="0"/>
          <w:sz w:val="32"/>
          <w:szCs w:val="32"/>
        </w:rPr>
        <w:t>（</w:t>
      </w:r>
      <w:r>
        <w:rPr>
          <w:rFonts w:eastAsia="方正仿宋_GBK"/>
          <w:kern w:val="0"/>
          <w:sz w:val="32"/>
          <w:szCs w:val="32"/>
        </w:rPr>
        <w:t>2</w:t>
      </w:r>
      <w:r>
        <w:rPr>
          <w:rFonts w:ascii="方正仿宋_GBK" w:eastAsia="方正仿宋_GBK" w:hint="eastAsia"/>
          <w:kern w:val="0"/>
          <w:sz w:val="32"/>
          <w:szCs w:val="32"/>
        </w:rPr>
        <w:t>）公务用车购置及运行费</w:t>
      </w:r>
      <w:r>
        <w:rPr>
          <w:rFonts w:eastAsia="方正仿宋_GBK" w:hint="eastAsia"/>
          <w:sz w:val="32"/>
          <w:szCs w:val="32"/>
        </w:rPr>
        <w:t>预算为</w:t>
      </w:r>
      <w:r>
        <w:rPr>
          <w:rFonts w:ascii="方正仿宋_GBK" w:eastAsia="方正仿宋_GBK" w:hint="eastAsia"/>
          <w:kern w:val="0"/>
          <w:sz w:val="32"/>
          <w:szCs w:val="32"/>
        </w:rPr>
        <w:t>17.00</w:t>
      </w:r>
      <w:r>
        <w:rPr>
          <w:rFonts w:eastAsia="方正仿宋_GBK" w:hint="eastAsia"/>
          <w:sz w:val="32"/>
          <w:szCs w:val="32"/>
        </w:rPr>
        <w:t>万元，支出决算为</w:t>
      </w:r>
      <w:r>
        <w:rPr>
          <w:rFonts w:ascii="方正仿宋_GBK" w:eastAsia="方正仿宋_GBK" w:hint="eastAsia"/>
          <w:kern w:val="0"/>
          <w:sz w:val="32"/>
          <w:szCs w:val="32"/>
        </w:rPr>
        <w:t>12.73</w:t>
      </w:r>
      <w:r>
        <w:rPr>
          <w:rFonts w:eastAsia="方正仿宋_GBK" w:hint="eastAsia"/>
          <w:sz w:val="32"/>
          <w:szCs w:val="32"/>
        </w:rPr>
        <w:t>万元，完成年初预算的</w:t>
      </w:r>
      <w:r>
        <w:rPr>
          <w:rFonts w:ascii="方正仿宋_GBK" w:eastAsia="方正仿宋_GBK" w:hint="eastAsia"/>
          <w:kern w:val="0"/>
          <w:sz w:val="32"/>
          <w:szCs w:val="32"/>
        </w:rPr>
        <w:t>74.88</w:t>
      </w:r>
      <w:r>
        <w:rPr>
          <w:rFonts w:eastAsia="方正仿宋_GBK" w:hint="eastAsia"/>
          <w:sz w:val="32"/>
          <w:szCs w:val="32"/>
        </w:rPr>
        <w:t>%。</w:t>
      </w:r>
    </w:p>
    <w:p>
      <w:pPr>
        <w:autoSpaceDN w:val="0"/>
        <w:spacing w:line="560" w:lineRule="exact"/>
        <w:ind w:firstLineChars="200" w:firstLine="640"/>
      </w:pPr>
      <w:r>
        <w:rPr>
          <w:rFonts w:eastAsia="方正仿宋_GBK" w:hint="eastAsia"/>
          <w:sz w:val="32"/>
          <w:szCs w:val="32"/>
        </w:rPr>
        <w:t>其中涪陵海关无公务用车购置费用，主要是</w:t>
      </w:r>
      <w:r>
        <w:rPr>
          <w:rFonts w:ascii="方正仿宋_GBK" w:eastAsia="方正仿宋_GBK" w:hint="eastAsia"/>
          <w:kern w:val="0"/>
          <w:sz w:val="32"/>
          <w:szCs w:val="32"/>
        </w:rPr>
        <w:t>公务用车运行维护费，</w:t>
      </w:r>
      <w:r>
        <w:rPr>
          <w:rFonts w:eastAsia="方正仿宋_GBK" w:hint="eastAsia"/>
          <w:sz w:val="32"/>
          <w:szCs w:val="32"/>
        </w:rPr>
        <w:t>包括</w:t>
      </w:r>
      <w:r>
        <w:rPr>
          <w:rFonts w:ascii="方正仿宋_GBK" w:eastAsia="方正仿宋_GBK" w:hint="eastAsia"/>
          <w:kern w:val="0"/>
          <w:sz w:val="32"/>
          <w:szCs w:val="32"/>
        </w:rPr>
        <w:t>涪陵</w:t>
      </w:r>
      <w:r>
        <w:rPr>
          <w:rFonts w:eastAsia="方正仿宋_GBK" w:hint="eastAsia"/>
          <w:kern w:val="0"/>
          <w:sz w:val="32"/>
          <w:szCs w:val="32"/>
        </w:rPr>
        <w:t>海关</w:t>
      </w:r>
      <w:r>
        <w:rPr>
          <w:rFonts w:eastAsia="方正仿宋_GBK" w:hint="eastAsia"/>
          <w:sz w:val="32"/>
          <w:szCs w:val="32"/>
        </w:rPr>
        <w:t>按规定保留的公务用车车辆燃料费、维修费、过桥过路费、保险费等支出。截至2022年12月31日，</w:t>
      </w:r>
      <w:r>
        <w:rPr>
          <w:rFonts w:ascii="方正仿宋_GBK" w:eastAsia="方正仿宋_GBK" w:hint="eastAsia"/>
          <w:kern w:val="0"/>
          <w:sz w:val="32"/>
          <w:szCs w:val="32"/>
        </w:rPr>
        <w:t>涪陵</w:t>
      </w:r>
      <w:r>
        <w:rPr>
          <w:rFonts w:eastAsia="方正仿宋_GBK" w:hint="eastAsia"/>
          <w:kern w:val="0"/>
          <w:sz w:val="32"/>
          <w:szCs w:val="32"/>
        </w:rPr>
        <w:t>海关开支财政拨款的公务用车保有量为</w:t>
      </w:r>
      <w:r>
        <w:rPr>
          <w:rFonts w:ascii="方正仿宋_GBK" w:eastAsia="方正仿宋_GBK" w:hint="eastAsia"/>
          <w:kern w:val="0"/>
          <w:sz w:val="32"/>
          <w:szCs w:val="32"/>
        </w:rPr>
        <w:t>5</w:t>
      </w:r>
      <w:r>
        <w:rPr>
          <w:rFonts w:eastAsia="方正仿宋_GBK" w:hint="eastAsia"/>
          <w:sz w:val="32"/>
          <w:szCs w:val="32"/>
        </w:rPr>
        <w:t>辆，</w:t>
      </w:r>
      <w:r>
        <w:rPr>
          <w:rFonts w:eastAsia="方正仿宋_GBK" w:hint="eastAsia"/>
          <w:kern w:val="0"/>
          <w:sz w:val="32"/>
          <w:szCs w:val="32"/>
        </w:rPr>
        <w:t>公务用车运行维护费</w:t>
      </w:r>
      <w:r>
        <w:rPr>
          <w:rFonts w:ascii="方正仿宋_GBK" w:eastAsia="方正仿宋_GBK" w:hint="eastAsia"/>
          <w:kern w:val="0"/>
          <w:sz w:val="32"/>
          <w:szCs w:val="32"/>
        </w:rPr>
        <w:t>12.73</w:t>
      </w:r>
      <w:r>
        <w:rPr>
          <w:rFonts w:eastAsia="方正仿宋_GBK" w:hint="eastAsia"/>
          <w:kern w:val="0"/>
          <w:sz w:val="32"/>
          <w:szCs w:val="32"/>
        </w:rPr>
        <w:t>万元</w:t>
      </w:r>
      <w:r>
        <w:rPr>
          <w:rFonts w:eastAsia="方正仿宋_GBK" w:hint="eastAsia"/>
          <w:sz w:val="32"/>
          <w:szCs w:val="32"/>
        </w:rPr>
        <w:t>，其中4辆为执法执勤用车，为</w:t>
      </w:r>
      <w:r>
        <w:rPr>
          <w:rFonts w:ascii="方正仿宋_GBK" w:eastAsia="方正仿宋_GBK" w:hint="eastAsia"/>
          <w:kern w:val="0"/>
          <w:sz w:val="32"/>
          <w:szCs w:val="32"/>
        </w:rPr>
        <w:t>涪陵</w:t>
      </w:r>
      <w:r>
        <w:rPr>
          <w:rFonts w:eastAsia="方正仿宋_GBK" w:hint="eastAsia"/>
          <w:kern w:val="0"/>
          <w:sz w:val="32"/>
          <w:szCs w:val="32"/>
        </w:rPr>
        <w:t>海关</w:t>
      </w:r>
      <w:r>
        <w:rPr>
          <w:rFonts w:eastAsia="方正仿宋_GBK" w:hint="eastAsia"/>
          <w:sz w:val="32"/>
          <w:szCs w:val="32"/>
        </w:rPr>
        <w:t>正常开展执法执勤工作的必要保障。</w:t>
      </w:r>
    </w:p>
    <w:p>
      <w:pPr>
        <w:autoSpaceDN w:val="0"/>
        <w:spacing w:line="560" w:lineRule="exact"/>
        <w:ind w:firstLineChars="200" w:firstLine="640"/>
      </w:pPr>
      <w:r>
        <w:rPr>
          <w:rFonts w:eastAsia="方正仿宋_GBK" w:hint="eastAsia"/>
          <w:sz w:val="32"/>
          <w:szCs w:val="32"/>
        </w:rPr>
        <w:t>（</w:t>
      </w:r>
      <w:r>
        <w:rPr>
          <w:rFonts w:eastAsia="方正仿宋_GBK" w:hint="eastAsia"/>
          <w:kern w:val="0"/>
          <w:sz w:val="32"/>
          <w:szCs w:val="32"/>
        </w:rPr>
        <w:t>3</w:t>
      </w:r>
      <w:r>
        <w:rPr>
          <w:rFonts w:eastAsia="方正仿宋_GBK" w:hint="eastAsia"/>
          <w:sz w:val="32"/>
          <w:szCs w:val="32"/>
        </w:rPr>
        <w:t>）无公务接待费预算，全年无公务接待费支出。</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（八）机关运行经费支出说明。</w:t>
      </w:r>
    </w:p>
    <w:p>
      <w:pPr>
        <w:autoSpaceDN w:val="0"/>
        <w:spacing w:line="560" w:lineRule="exact"/>
        <w:ind w:firstLineChars="200" w:firstLine="640"/>
        <w:rPr>
          <w:rFonts w:ascii="方正仿宋_GBK" w:eastAsia="方正仿宋_GBK"/>
          <w:kern w:val="0"/>
          <w:sz w:val="32"/>
          <w:szCs w:val="32"/>
        </w:rPr>
      </w:pPr>
      <w:r>
        <w:rPr>
          <w:rFonts w:ascii="方正仿宋_GBK" w:eastAsia="方正仿宋_GBK" w:hint="eastAsia"/>
          <w:kern w:val="0"/>
          <w:sz w:val="32"/>
          <w:szCs w:val="32"/>
        </w:rPr>
        <w:t>涪陵</w:t>
      </w:r>
      <w:r>
        <w:rPr>
          <w:rFonts w:eastAsia="方正仿宋_GBK" w:hint="eastAsia"/>
          <w:sz w:val="32"/>
          <w:szCs w:val="32"/>
        </w:rPr>
        <w:t>海关</w:t>
      </w:r>
      <w:r>
        <w:rPr>
          <w:rFonts w:eastAsia="方正仿宋_GBK"/>
          <w:kern w:val="0"/>
          <w:sz w:val="32"/>
          <w:szCs w:val="32"/>
        </w:rPr>
        <w:t>20</w:t>
      </w:r>
      <w:r>
        <w:rPr>
          <w:rFonts w:eastAsia="方正仿宋_GBK" w:hint="eastAsia"/>
          <w:kern w:val="0"/>
          <w:sz w:val="32"/>
          <w:szCs w:val="32"/>
        </w:rPr>
        <w:t>22年度机关运行经费支出</w:t>
      </w:r>
      <w:r>
        <w:rPr>
          <w:rFonts w:ascii="方正仿宋_GBK" w:eastAsia="方正仿宋_GBK" w:hint="eastAsia"/>
          <w:kern w:val="0"/>
          <w:sz w:val="32"/>
          <w:szCs w:val="32"/>
        </w:rPr>
        <w:t>69.34</w:t>
      </w:r>
      <w:r>
        <w:rPr>
          <w:rFonts w:eastAsia="方正仿宋_GBK" w:hint="eastAsia"/>
          <w:kern w:val="0"/>
          <w:sz w:val="32"/>
          <w:szCs w:val="32"/>
        </w:rPr>
        <w:t>万元，比2021年增加18.49万元，上涨36.36%，主要原因是</w:t>
      </w:r>
      <w:r>
        <w:rPr>
          <w:rFonts w:eastAsia="方正仿宋_GBK" w:hint="eastAsia"/>
          <w:sz w:val="32"/>
          <w:szCs w:val="32"/>
        </w:rPr>
        <w:t>2022年财政拨款增加。</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（九）政府采购支出说明。</w:t>
      </w:r>
    </w:p>
    <w:p>
      <w:pPr>
        <w:autoSpaceDN w:val="0"/>
        <w:spacing w:line="560" w:lineRule="exact"/>
        <w:ind w:firstLineChars="200" w:firstLine="640"/>
        <w:rPr>
          <w:rFonts w:eastAsia="方正仿宋_GBK"/>
          <w:kern w:val="0"/>
          <w:sz w:val="32"/>
          <w:szCs w:val="32"/>
        </w:rPr>
      </w:pPr>
      <w:r>
        <w:rPr>
          <w:rFonts w:ascii="方正仿宋_GBK" w:eastAsia="方正仿宋_GBK" w:hint="eastAsia"/>
          <w:kern w:val="0"/>
          <w:sz w:val="32"/>
          <w:szCs w:val="32"/>
        </w:rPr>
        <w:t>涪陵</w:t>
      </w:r>
      <w:r>
        <w:rPr>
          <w:rFonts w:eastAsia="方正仿宋_GBK" w:hint="eastAsia"/>
          <w:sz w:val="32"/>
          <w:szCs w:val="32"/>
        </w:rPr>
        <w:t>海关</w:t>
      </w:r>
      <w:r>
        <w:rPr>
          <w:rFonts w:eastAsia="方正仿宋_GBK" w:hint="eastAsia"/>
          <w:kern w:val="0"/>
          <w:sz w:val="32"/>
          <w:szCs w:val="32"/>
        </w:rPr>
        <w:t>2022年度政府采购支出0.56万元，比2021年增加0.56万元，上涨100%。</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（十）国有资产占用情况说明。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截至2022年12月31日，</w:t>
      </w:r>
      <w:r>
        <w:rPr>
          <w:rFonts w:ascii="方正仿宋_GBK" w:eastAsia="方正仿宋_GBK" w:hint="eastAsia"/>
          <w:kern w:val="0"/>
          <w:sz w:val="32"/>
          <w:szCs w:val="32"/>
        </w:rPr>
        <w:t>涪陵</w:t>
      </w:r>
      <w:r>
        <w:rPr>
          <w:rFonts w:eastAsia="方正仿宋_GBK" w:hint="eastAsia"/>
          <w:sz w:val="32"/>
          <w:szCs w:val="32"/>
        </w:rPr>
        <w:t>海关</w:t>
      </w:r>
      <w:r>
        <w:rPr>
          <w:rFonts w:eastAsia="方正仿宋_GBK" w:hint="eastAsia"/>
          <w:kern w:val="0"/>
          <w:sz w:val="32"/>
          <w:szCs w:val="32"/>
        </w:rPr>
        <w:t>共有车辆</w:t>
      </w:r>
      <w:r>
        <w:rPr>
          <w:rFonts w:ascii="方正仿宋_GBK" w:eastAsia="方正仿宋_GBK" w:hint="eastAsia"/>
          <w:kern w:val="0"/>
          <w:sz w:val="32"/>
          <w:szCs w:val="32"/>
        </w:rPr>
        <w:t>5</w:t>
      </w:r>
      <w:r>
        <w:rPr>
          <w:rFonts w:eastAsia="方正仿宋_GBK" w:hint="eastAsia"/>
          <w:kern w:val="0"/>
          <w:sz w:val="32"/>
          <w:szCs w:val="32"/>
        </w:rPr>
        <w:t>辆（台），其中：机要通信用车</w:t>
      </w:r>
      <w:r>
        <w:rPr>
          <w:rFonts w:ascii="方正仿宋_GBK" w:eastAsia="方正仿宋_GBK" w:hint="eastAsia"/>
          <w:kern w:val="0"/>
          <w:sz w:val="32"/>
          <w:szCs w:val="32"/>
        </w:rPr>
        <w:t>1</w:t>
      </w:r>
      <w:r>
        <w:rPr>
          <w:rFonts w:eastAsia="方正仿宋_GBK" w:hint="eastAsia"/>
          <w:kern w:val="0"/>
          <w:sz w:val="32"/>
          <w:szCs w:val="32"/>
        </w:rPr>
        <w:t>辆、执法执勤用车</w:t>
      </w:r>
      <w:r>
        <w:rPr>
          <w:rFonts w:ascii="方正仿宋_GBK" w:eastAsia="方正仿宋_GBK" w:hint="eastAsia"/>
          <w:kern w:val="0"/>
          <w:sz w:val="32"/>
          <w:szCs w:val="32"/>
        </w:rPr>
        <w:t>4</w:t>
      </w:r>
      <w:r>
        <w:rPr>
          <w:rFonts w:eastAsia="方正仿宋_GBK" w:hint="eastAsia"/>
          <w:kern w:val="0"/>
          <w:sz w:val="32"/>
          <w:szCs w:val="32"/>
        </w:rPr>
        <w:t>辆；单价50万元（含）以上的通用设备</w:t>
      </w:r>
      <w:r>
        <w:rPr>
          <w:rFonts w:ascii="方正仿宋_GBK" w:eastAsia="方正仿宋_GBK" w:hint="eastAsia"/>
          <w:kern w:val="0"/>
          <w:sz w:val="32"/>
          <w:szCs w:val="32"/>
        </w:rPr>
        <w:t>5</w:t>
      </w:r>
      <w:r>
        <w:rPr>
          <w:rFonts w:eastAsia="方正仿宋_GBK" w:hint="eastAsia"/>
          <w:kern w:val="0"/>
          <w:sz w:val="32"/>
          <w:szCs w:val="32"/>
        </w:rPr>
        <w:t>台（套），单价100万元（含）以上的专用设备</w:t>
      </w:r>
      <w:r>
        <w:rPr>
          <w:rFonts w:ascii="方正仿宋_GBK" w:eastAsia="方正仿宋_GBK" w:hint="eastAsia"/>
          <w:kern w:val="0"/>
          <w:sz w:val="32"/>
          <w:szCs w:val="32"/>
        </w:rPr>
        <w:t>2</w:t>
      </w:r>
      <w:r>
        <w:rPr>
          <w:rFonts w:eastAsia="方正仿宋_GBK" w:hint="eastAsia"/>
          <w:kern w:val="0"/>
          <w:sz w:val="32"/>
          <w:szCs w:val="32"/>
        </w:rPr>
        <w:t>台（套）。</w:t>
      </w:r>
    </w:p>
    <w:p>
      <w:pPr>
        <w:autoSpaceDN w:val="0"/>
        <w:spacing w:line="560" w:lineRule="exact"/>
        <w:ind w:firstLineChars="200" w:firstLine="640"/>
        <w:rPr>
          <w:rFonts w:eastAsia="方正仿宋_GBK"/>
          <w:b/>
          <w:bCs/>
          <w:sz w:val="32"/>
          <w:szCs w:val="32"/>
        </w:rPr>
      </w:pPr>
      <w:r>
        <w:rPr>
          <w:rFonts w:eastAsia="方正仿宋_GBK" w:hint="eastAsia"/>
          <w:b/>
          <w:bCs/>
          <w:sz w:val="32"/>
          <w:szCs w:val="32"/>
        </w:rPr>
        <w:t>（十一）预算绩效情况说明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1.预算绩效管理工作开展情况。根据预算绩效管理工作要求，我关组织对2022年度一般公共预算项目支出全面开展绩效自评，其中，一级项目3个，二级项目3个，共涉及资金76.00万元，占一般公共预算项目支出总额的100%。</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组织对“海关缉私办案费”“企业管理及稽查专项”等3个项目开展了部门评价，涉及一般公共预算支出76.00万元。从评价情况来看，各项目都很好地完成了绩效目标，预算执行按计划完成，所有项目产出指标、效益指标、满意度指标得分均为满分。</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2022年度项目支出绩效自评表见附件。</w:t>
      </w:r>
    </w:p>
    <w:p>
      <w:pPr>
        <w:autoSpaceDN w:val="0"/>
        <w:spacing w:line="560" w:lineRule="exact"/>
        <w:ind w:firstLineChars="200" w:firstLine="640"/>
        <w:rPr>
          <w:rFonts w:eastAsia="方正仿宋_GBK"/>
          <w:sz w:val="32"/>
          <w:szCs w:val="32"/>
        </w:rPr>
      </w:pPr>
      <w:r>
        <w:rPr>
          <w:rFonts w:eastAsia="方正黑体_GBK" w:hint="eastAsia"/>
          <w:sz w:val="32"/>
          <w:szCs w:val="32"/>
        </w:rPr>
        <w:t>四、名词解释</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（一）一般公共预算财政拨款收入：</w:t>
      </w:r>
      <w:r>
        <w:rPr>
          <w:rFonts w:eastAsia="方正仿宋_GBK" w:hint="eastAsia"/>
          <w:sz w:val="32"/>
          <w:szCs w:val="32"/>
        </w:rPr>
        <w:t>指中央财政当年拨付的资金。</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（二）其他收入：</w:t>
      </w:r>
      <w:r>
        <w:rPr>
          <w:rFonts w:eastAsia="方正仿宋_GBK" w:hint="eastAsia"/>
          <w:sz w:val="32"/>
          <w:szCs w:val="32"/>
        </w:rPr>
        <w:t>指除上述一般公共预算财政拨款收入、事业收入、事业单位经营收入等以外的收入。主要是非同级财政拨款收入、存款利息收入等。</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（三）年初结转和结余：</w:t>
      </w:r>
      <w:r>
        <w:rPr>
          <w:rFonts w:eastAsia="方正仿宋_GBK" w:hint="eastAsia"/>
          <w:sz w:val="32"/>
          <w:szCs w:val="32"/>
        </w:rPr>
        <w:t>指单位以前年度尚未完成、结转到本年仍按原规定用途继续使用的资金，或项目已完成等产生的结余资金。</w:t>
      </w:r>
    </w:p>
    <w:p>
      <w:pPr>
        <w:autoSpaceDN w:val="0"/>
        <w:spacing w:line="560" w:lineRule="exact"/>
        <w:ind w:firstLineChars="200" w:firstLine="640"/>
      </w:pPr>
      <w:r>
        <w:rPr>
          <w:rFonts w:ascii="方正楷体_GBK" w:eastAsia="方正楷体_GBK" w:hint="eastAsia"/>
          <w:b/>
          <w:bCs/>
          <w:sz w:val="32"/>
          <w:szCs w:val="32"/>
        </w:rPr>
        <w:t>（四）一般公共服务（类）海关事务（款）：</w:t>
      </w:r>
      <w:r>
        <w:rPr>
          <w:rFonts w:eastAsia="方正仿宋_GBK" w:hint="eastAsia"/>
          <w:sz w:val="32"/>
          <w:szCs w:val="32"/>
        </w:rPr>
        <w:t>反映海关用于系统行政和事业单位的基本支出及完成专项业务工作的项目支出。</w:t>
      </w:r>
    </w:p>
    <w:p>
      <w:pPr>
        <w:autoSpaceDN w:val="0"/>
        <w:spacing w:line="560" w:lineRule="exact"/>
        <w:ind w:firstLineChars="200" w:firstLine="640"/>
        <w:rPr>
          <w:rFonts w:eastAsia="方正仿宋_GBK"/>
          <w:b/>
          <w:bCs/>
          <w:sz w:val="32"/>
          <w:szCs w:val="32"/>
        </w:rPr>
      </w:pPr>
      <w:r>
        <w:rPr>
          <w:rFonts w:eastAsia="方正仿宋_GBK" w:hint="eastAsia"/>
          <w:b/>
          <w:bCs/>
          <w:sz w:val="32"/>
          <w:szCs w:val="32"/>
        </w:rPr>
        <w:t>行政运行（项）</w:t>
      </w:r>
      <w:r>
        <w:rPr>
          <w:rFonts w:eastAsia="方正仿宋_GBK"/>
          <w:b/>
          <w:bCs/>
          <w:sz w:val="32"/>
          <w:szCs w:val="32"/>
        </w:rPr>
        <w:t>：</w:t>
      </w:r>
      <w:r>
        <w:rPr>
          <w:rFonts w:eastAsia="方正仿宋_GBK" w:hint="eastAsia"/>
          <w:sz w:val="32"/>
          <w:szCs w:val="32"/>
        </w:rPr>
        <w:t>反映海关系统（包括参照公务员管理的事业单位）的基本支出。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海关关务</w:t>
      </w:r>
      <w:r>
        <w:rPr>
          <w:rFonts w:eastAsia="方正仿宋_GBK"/>
          <w:b/>
          <w:bCs/>
          <w:sz w:val="32"/>
          <w:szCs w:val="32"/>
        </w:rPr>
        <w:t>（</w:t>
      </w:r>
      <w:r>
        <w:rPr>
          <w:rFonts w:eastAsia="方正仿宋_GBK" w:hint="eastAsia"/>
          <w:b/>
          <w:bCs/>
          <w:sz w:val="32"/>
          <w:szCs w:val="32"/>
        </w:rPr>
        <w:t>项</w:t>
      </w:r>
      <w:r>
        <w:rPr>
          <w:rFonts w:eastAsia="方正仿宋_GBK"/>
          <w:b/>
          <w:bCs/>
          <w:sz w:val="32"/>
          <w:szCs w:val="32"/>
        </w:rPr>
        <w:t>）</w:t>
      </w:r>
      <w:r>
        <w:rPr>
          <w:rFonts w:eastAsia="方正仿宋_GBK" w:hint="eastAsia"/>
          <w:b/>
          <w:bCs/>
          <w:sz w:val="32"/>
          <w:szCs w:val="32"/>
        </w:rPr>
        <w:t>：</w:t>
      </w:r>
      <w:r>
        <w:rPr>
          <w:rFonts w:eastAsia="方正仿宋_GBK" w:hint="eastAsia"/>
          <w:sz w:val="32"/>
          <w:szCs w:val="32"/>
        </w:rPr>
        <w:t>反映海关现场综合业务费、基本建设和资产运行维护方面的支出。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海关监管（项）：</w:t>
      </w:r>
      <w:r>
        <w:rPr>
          <w:rFonts w:eastAsia="方正仿宋_GBK" w:hint="eastAsia"/>
          <w:sz w:val="32"/>
          <w:szCs w:val="32"/>
        </w:rPr>
        <w:t>反映海关系统用于海关监管查验技术设备购建及运维的支出。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检验检疫（项）：</w:t>
      </w:r>
      <w:r>
        <w:rPr>
          <w:rFonts w:eastAsia="方正仿宋_GBK" w:hint="eastAsia"/>
          <w:sz w:val="32"/>
          <w:szCs w:val="32"/>
        </w:rPr>
        <w:t>反映海关系统用于检验检疫执法保障及能力提升、检验检疫安全监管、认证认可监督管理支出。</w:t>
      </w:r>
    </w:p>
    <w:p>
      <w:pPr>
        <w:pStyle w:val="54"/>
        <w:spacing w:line="560" w:lineRule="exact"/>
        <w:ind w:firstLineChars="224" w:firstLine="717"/>
        <w:jc w:val="both"/>
        <w:rPr>
          <w:rFonts w:eastAsia="方正仿宋_GBK"/>
          <w:color w:val="auto"/>
          <w:kern w:val="2"/>
          <w:sz w:val="32"/>
          <w:szCs w:val="32"/>
        </w:rPr>
      </w:pPr>
      <w:r>
        <w:rPr>
          <w:rFonts w:ascii="方正楷体_GBK" w:eastAsia="方正楷体_GBK" w:hint="eastAsia"/>
          <w:b/>
          <w:bCs/>
          <w:color w:val="auto"/>
          <w:sz w:val="32"/>
          <w:szCs w:val="32"/>
        </w:rPr>
        <w:t>（五）年末结转和结余：</w:t>
      </w:r>
      <w:r>
        <w:rPr>
          <w:rFonts w:eastAsia="方正仿宋_GBK" w:hint="eastAsia"/>
          <w:color w:val="auto"/>
          <w:kern w:val="2"/>
          <w:sz w:val="32"/>
          <w:szCs w:val="32"/>
        </w:rPr>
        <w:t>指单位按有关规定结转到下年或以后年度继续使用的资金，或项目已完成等产生的结余资金。</w:t>
      </w:r>
    </w:p>
    <w:p>
      <w:pPr>
        <w:pStyle w:val="54"/>
        <w:spacing w:line="560" w:lineRule="exact"/>
        <w:ind w:firstLineChars="224" w:firstLine="717"/>
        <w:jc w:val="both"/>
        <w:rPr>
          <w:rFonts w:eastAsia="方正仿宋_GBK"/>
          <w:color w:val="auto"/>
          <w:sz w:val="32"/>
          <w:szCs w:val="32"/>
        </w:rPr>
      </w:pPr>
      <w:r>
        <w:rPr>
          <w:rFonts w:ascii="方正楷体_GBK" w:eastAsia="方正楷体_GBK" w:hint="eastAsia"/>
          <w:b/>
          <w:bCs/>
          <w:color w:val="auto"/>
          <w:sz w:val="32"/>
          <w:szCs w:val="32"/>
        </w:rPr>
        <w:t>（六）基本支出：</w:t>
      </w:r>
      <w:r>
        <w:rPr>
          <w:rFonts w:eastAsia="方正仿宋_GBK" w:hint="eastAsia"/>
          <w:color w:val="auto"/>
          <w:sz w:val="32"/>
          <w:szCs w:val="32"/>
        </w:rPr>
        <w:t>指为保障机构正常运转、完成日常工作任务而发生的人员支出和公用支出。</w:t>
      </w:r>
    </w:p>
    <w:p>
      <w:pPr>
        <w:autoSpaceDE w:val="0"/>
        <w:autoSpaceDN w:val="0"/>
        <w:adjustRightInd w:val="0"/>
        <w:spacing w:line="560" w:lineRule="exact"/>
        <w:ind w:firstLineChars="224" w:firstLine="717"/>
        <w:rPr>
          <w:rFonts w:eastAsia="方正仿宋_GBK"/>
          <w:kern w:val="0"/>
          <w:sz w:val="32"/>
          <w:szCs w:val="32"/>
        </w:rPr>
      </w:pPr>
      <w:r>
        <w:rPr>
          <w:rFonts w:ascii="方正楷体_GBK" w:eastAsia="方正楷体_GBK" w:hint="eastAsia"/>
          <w:b/>
          <w:bCs/>
          <w:kern w:val="0"/>
          <w:sz w:val="32"/>
          <w:szCs w:val="32"/>
        </w:rPr>
        <w:t>（七）项目支出：</w:t>
      </w:r>
      <w:r>
        <w:rPr>
          <w:rFonts w:eastAsia="方正仿宋_GBK" w:hint="eastAsia"/>
          <w:kern w:val="0"/>
          <w:sz w:val="32"/>
          <w:szCs w:val="32"/>
        </w:rPr>
        <w:t>指在基本支出之外为完成特定行政任务或事业发展目标所发生的支出。</w:t>
      </w:r>
    </w:p>
    <w:p>
      <w:pPr>
        <w:autoSpaceDN w:val="0"/>
        <w:spacing w:line="560" w:lineRule="exact"/>
        <w:ind w:firstLineChars="200" w:firstLine="640"/>
        <w:rPr>
          <w:rFonts w:eastAsia="方正仿宋_GBK"/>
          <w:sz w:val="32"/>
          <w:szCs w:val="32"/>
        </w:rPr>
      </w:pPr>
      <w:r>
        <w:rPr>
          <w:rFonts w:ascii="方正楷体_GBK" w:eastAsia="方正楷体_GBK" w:hint="eastAsia"/>
          <w:b/>
          <w:bCs/>
          <w:kern w:val="0"/>
          <w:sz w:val="32"/>
          <w:szCs w:val="32"/>
        </w:rPr>
        <w:t>（八）“三公经费”：</w:t>
      </w:r>
      <w:r>
        <w:rPr>
          <w:rFonts w:eastAsia="方正仿宋_GBK" w:hint="eastAsia"/>
          <w:sz w:val="32"/>
          <w:szCs w:val="32"/>
        </w:rPr>
        <w:t>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按规定保留的公务用车车辆燃料费、维修费、过桥过路费、保险费、安全奖励费用等支出；公务接待费反映单位按规定开支的各类公务接待（含外宾接待）支出。</w:t>
      </w:r>
    </w:p>
    <w:p>
      <w:pPr>
        <w:widowControl/>
        <w:spacing w:line="560" w:lineRule="exact"/>
        <w:ind w:firstLineChars="200" w:firstLine="640"/>
        <w:jc w:val="left"/>
        <w:rPr>
          <w:rFonts w:eastAsia="方正仿宋_GBK"/>
          <w:sz w:val="32"/>
          <w:szCs w:val="32"/>
        </w:rPr>
      </w:pPr>
      <w:r>
        <w:rPr>
          <w:rFonts w:ascii="方正楷体_GBK" w:eastAsia="方正楷体_GBK" w:hint="eastAsia"/>
          <w:b/>
          <w:bCs/>
          <w:kern w:val="0"/>
          <w:sz w:val="32"/>
          <w:szCs w:val="32"/>
        </w:rPr>
        <w:t>（九）</w:t>
      </w:r>
      <w:r>
        <w:rPr>
          <w:rFonts w:ascii="方正楷体_GBK" w:eastAsia="方正楷体_GBK" w:hint="eastAsia"/>
          <w:b/>
          <w:bCs/>
          <w:sz w:val="32"/>
          <w:szCs w:val="32"/>
        </w:rPr>
        <w:t>机关运行经费：</w:t>
      </w:r>
      <w:r>
        <w:rPr>
          <w:rFonts w:eastAsia="方正仿宋_GBK" w:hint="eastAsia"/>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eastAsia="方正仿宋_GBK"/>
          <w:sz w:val="32"/>
          <w:szCs w:val="32"/>
        </w:rPr>
        <w:br w:type="page"/>
      </w:r>
    </w:p>
    <w:p>
      <w:pPr>
        <w:autoSpaceDN w:val="0"/>
        <w:spacing w:line="560" w:lineRule="exact"/>
        <w:ind w:left="0"/>
        <w:rPr>
          <w:rFonts w:ascii="方正黑体_GBK" w:eastAsia="方正黑体_GBK" w:hint="eastAsia"/>
          <w:sz w:val="32"/>
          <w:szCs w:val="32"/>
        </w:rPr>
      </w:pPr>
      <w:r>
        <w:rPr>
          <w:rFonts w:ascii="方正黑体_GBK" w:eastAsia="方正黑体_GBK" w:hint="eastAsia"/>
          <w:sz w:val="32"/>
          <w:szCs w:val="32"/>
        </w:rPr>
        <w:t>附件：</w:t>
      </w:r>
    </w:p>
    <w:tbl>
      <w:tblPr>
        <w:jc w:val="left"/>
        <w:tblInd w:w="91" w:type="dxa"/>
        <w:tblW w:w="966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840"/>
        <w:gridCol w:w="840"/>
        <w:gridCol w:w="940"/>
        <w:gridCol w:w="1060"/>
        <w:gridCol w:w="1060"/>
        <w:gridCol w:w="1680"/>
        <w:gridCol w:w="576"/>
        <w:gridCol w:w="144"/>
        <w:gridCol w:w="432"/>
        <w:gridCol w:w="288"/>
        <w:gridCol w:w="352"/>
        <w:gridCol w:w="288"/>
        <w:gridCol w:w="452"/>
        <w:gridCol w:w="288"/>
      </w:tblGrid>
      <w:tr>
        <w:trPr>
          <w:trHeight w:val="702"/>
          <w:gridAfter w:val="1"/>
          <w:wAfter w:w="288" w:type="dxa"/>
        </w:trPr>
        <w:tc>
          <w:tcPr>
            <w:tcW w:w="9372" w:type="dxa"/>
            <w:gridSpan w:val="14"/>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702"/>
          <w:gridAfter w:val="1"/>
          <w:wAfter w:w="288" w:type="dxa"/>
        </w:trPr>
        <w:tc>
          <w:tcPr>
            <w:tcW w:w="9372" w:type="dxa"/>
            <w:gridSpan w:val="14"/>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(2022年度)</w:t>
            </w:r>
          </w:p>
        </w:tc>
      </w:tr>
      <w:tr>
        <w:trPr>
          <w:trHeight w:val="255"/>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2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2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400" w:type="dxa"/>
            <w:gridSpan w:val="1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海关业务保障及能力提升专项</w:t>
            </w:r>
          </w:p>
        </w:tc>
      </w:tr>
      <w:tr>
        <w:trPr>
          <w:trHeight w:val="379"/>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5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中华人民共和国涪陵海关</w:t>
            </w:r>
          </w:p>
        </w:tc>
      </w:tr>
      <w:tr>
        <w:trPr>
          <w:trHeight w:val="379"/>
        </w:trPr>
        <w:tc>
          <w:tcPr>
            <w:tcW w:w="12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项目资金（万元）</w:t>
            </w: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71.00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71.00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71.00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71.00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71.00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71.00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47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5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1902"/>
        </w:trPr>
        <w:tc>
          <w:tcPr>
            <w:tcW w:w="420" w:type="dxa"/>
            <w:vMerge/>
            <w:tcBorders>
              <w:top w:val="nil"/>
              <w:left w:val="single" w:sz="4" w:space="0" w:color="000000"/>
              <w:bottom w:val="single" w:sz="4" w:space="0" w:color="000000"/>
              <w:right w:val="single" w:sz="4" w:space="0" w:color="000000"/>
            </w:tcBorders>
            <w:vAlign w:val="center"/>
          </w:tcPr>
          <w:p/>
        </w:tc>
        <w:tc>
          <w:tcPr>
            <w:tcW w:w="47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目标1：保障涪陵海关行政执法制度修订、风险管理等各项业务日常经费需求,提升涪陵海关行政执法能力和执法水平；</w:t>
              <w:br/>
              <w:t xml:space="preserve">目标2：保障涪陵海关开展执法业务所需外出出差、执法等保障，推进工作有序开展。 </w:t>
            </w:r>
          </w:p>
        </w:tc>
        <w:tc>
          <w:tcPr>
            <w:tcW w:w="4500" w:type="dxa"/>
            <w:gridSpan w:val="9"/>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1、全年顺利保障原产地数据检查、统计数据核查等风险管理业务开展，保障征求税则条例、税政调研等海关行政执法制度修订意见建议，有效提升了涪陵海关行政执法能力和执法规范性、执法水平的提升；</w:t>
            </w:r>
          </w:p>
          <w:p>
            <w:pPr>
              <w:widowControl/>
              <w:jc w:val="left"/>
              <w:rPr>
                <w:rFonts w:ascii="宋体" w:cs="Arial"/>
                <w:kern w:val="0"/>
                <w:sz w:val="18"/>
                <w:szCs w:val="18"/>
              </w:rPr>
            </w:pPr>
            <w:r>
              <w:rPr>
                <w:rFonts w:ascii="宋体" w:cs="Arial" w:hint="eastAsia"/>
                <w:kern w:val="0"/>
                <w:sz w:val="18"/>
                <w:szCs w:val="18"/>
              </w:rPr>
              <w:t>2、顺利保障了海关口岸查验、属地查验、属地稽核查等外勤执法、出差工作，推动关区外勤工作的顺利开展。</w:t>
            </w:r>
          </w:p>
        </w:tc>
      </w:tr>
      <w:tr>
        <w:trPr>
          <w:trHeight w:val="462"/>
        </w:trPr>
        <w:tc>
          <w:tcPr>
            <w:tcW w:w="42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480"/>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84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产出指标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业务宣传</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≥3次</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6次</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25.0 </w:t>
            </w:r>
          </w:p>
        </w:tc>
        <w:tc>
          <w:tcPr>
            <w:tcW w:w="720" w:type="dxa"/>
            <w:gridSpan w:val="2"/>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25.0 </w:t>
            </w:r>
          </w:p>
        </w:tc>
        <w:tc>
          <w:tcPr>
            <w:tcW w:w="13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质量指标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因保障能力造成的执法差错率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25.0 </w:t>
            </w:r>
          </w:p>
        </w:tc>
        <w:tc>
          <w:tcPr>
            <w:tcW w:w="720" w:type="dxa"/>
            <w:gridSpan w:val="2"/>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25.0 </w:t>
            </w:r>
          </w:p>
        </w:tc>
        <w:tc>
          <w:tcPr>
            <w:tcW w:w="13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效益指标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社会效益指标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法定检测任务完成率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30.0 </w:t>
            </w:r>
          </w:p>
        </w:tc>
        <w:tc>
          <w:tcPr>
            <w:tcW w:w="720" w:type="dxa"/>
            <w:gridSpan w:val="2"/>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30.0 </w:t>
            </w:r>
          </w:p>
        </w:tc>
        <w:tc>
          <w:tcPr>
            <w:tcW w:w="13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72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满意度指标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服务对象满意度指标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服务企业（抽样）满意度</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720" w:type="dxa"/>
            <w:gridSpan w:val="2"/>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13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379"/>
        </w:trPr>
        <w:tc>
          <w:tcPr>
            <w:tcW w:w="68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1140"/>
        </w:trPr>
        <w:tc>
          <w:tcPr>
            <w:tcW w:w="9660" w:type="dxa"/>
            <w:gridSpan w:val="15"/>
            <w:tcBorders>
              <w:top w:val="single" w:sz="4" w:space="0" w:color="000000"/>
              <w:left w:val="single" w:sz="4" w:space="0" w:color="000000"/>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说明：</w:t>
            </w:r>
          </w:p>
        </w:tc>
      </w:tr>
      <w:tr>
        <w:trPr>
          <w:trHeight w:val="702"/>
          <w:gridAfter w:val="1"/>
          <w:wAfter w:w="288" w:type="dxa"/>
        </w:trPr>
        <w:tc>
          <w:tcPr>
            <w:tcW w:w="9372" w:type="dxa"/>
            <w:gridSpan w:val="14"/>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p>
          <w:p>
            <w:pPr>
              <w:widowControl/>
              <w:jc w:val="center"/>
              <w:rPr>
                <w:rFonts w:ascii="黑体" w:eastAsia="黑体" w:cs="Arial"/>
                <w:kern w:val="0"/>
                <w:sz w:val="32"/>
                <w:szCs w:val="32"/>
              </w:rPr>
            </w:pPr>
          </w:p>
          <w:p>
            <w:pPr>
              <w:widowControl/>
              <w:jc w:val="center"/>
              <w:rPr>
                <w:rFonts w:ascii="黑体" w:eastAsia="黑体" w:cs="Arial"/>
                <w:kern w:val="0"/>
                <w:sz w:val="32"/>
                <w:szCs w:val="32"/>
              </w:rPr>
            </w:pPr>
          </w:p>
          <w:p>
            <w:pPr>
              <w:widowControl/>
              <w:jc w:val="center"/>
              <w:rPr>
                <w:rFonts w:ascii="黑体" w:eastAsia="黑体" w:cs="Arial"/>
                <w:kern w:val="0"/>
                <w:sz w:val="32"/>
                <w:szCs w:val="32"/>
              </w:rPr>
            </w:pPr>
          </w:p>
          <w:p>
            <w:pPr>
              <w:widowControl/>
              <w:jc w:val="center"/>
              <w:rPr>
                <w:rFonts w:ascii="黑体" w:eastAsia="黑体" w:cs="Arial"/>
                <w:kern w:val="0"/>
                <w:sz w:val="32"/>
                <w:szCs w:val="32"/>
              </w:rPr>
            </w:pPr>
          </w:p>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gridAfter w:val="1"/>
          <w:wAfter w:w="288" w:type="dxa"/>
        </w:trPr>
        <w:tc>
          <w:tcPr>
            <w:tcW w:w="9372" w:type="dxa"/>
            <w:gridSpan w:val="14"/>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(2022年度)</w:t>
            </w:r>
          </w:p>
        </w:tc>
      </w:tr>
      <w:tr>
        <w:trPr>
          <w:trHeight w:val="255"/>
          <w:gridAfter w:val="1"/>
          <w:wAfter w:w="288" w:type="dxa"/>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6"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6"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83"/>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400" w:type="dxa"/>
            <w:gridSpan w:val="1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企业管理及稽查专项</w:t>
            </w:r>
          </w:p>
        </w:tc>
      </w:tr>
      <w:tr>
        <w:trPr>
          <w:trHeight w:val="383"/>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5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中华人民共和国涪陵海关</w:t>
            </w:r>
          </w:p>
        </w:tc>
      </w:tr>
      <w:tr>
        <w:trPr>
          <w:trHeight w:val="383"/>
        </w:trPr>
        <w:tc>
          <w:tcPr>
            <w:tcW w:w="12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项目资金（万元）</w:t>
            </w: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83"/>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r>
      <w:tr>
        <w:trPr>
          <w:trHeight w:val="383"/>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83"/>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83"/>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83"/>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47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5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1898"/>
        </w:trPr>
        <w:tc>
          <w:tcPr>
            <w:tcW w:w="420" w:type="dxa"/>
            <w:vMerge/>
            <w:tcBorders>
              <w:top w:val="nil"/>
              <w:left w:val="single" w:sz="4" w:space="0" w:color="000000"/>
              <w:bottom w:val="single" w:sz="4" w:space="0" w:color="000000"/>
              <w:right w:val="single" w:sz="4" w:space="0" w:color="000000"/>
            </w:tcBorders>
            <w:vAlign w:val="center"/>
          </w:tcPr>
          <w:p/>
        </w:tc>
        <w:tc>
          <w:tcPr>
            <w:tcW w:w="47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按年度计划开展企业管理、加工贸易和稽核查工作。通过支付专用材料费，购买专用耗材，确保正常行政执法。通过差旅费、外出调研学习、下厂执法等保障外勤执法工作正常开展，确保完成年度外出执法工作任务。通过支付办公费，购买相关企管书籍，提高海关企业管理和稽核查的工作治质效。通过支付邮电费，保障海关文书可以顺利送达企业。</w:t>
            </w:r>
          </w:p>
        </w:tc>
        <w:tc>
          <w:tcPr>
            <w:tcW w:w="4500" w:type="dxa"/>
            <w:gridSpan w:val="9"/>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综合施策全面提升企管工作质效。编制便民服务指南，强化政策宣贯，联合地方部门开展专题培训4次，帮助企业用足用好海关政策红利。2022年，该关办理企业注册157家、变更55家、注销38家。助推重点企业上市加速跑，为19家企业快速出具信用状况证明；聚焦助企纾困，落实“首问负责制”，解决12个具体问题。2022，帮扶辖区3家企业成功上市。对关区企业开展排查，加强对进出口数据的分析，掌握业务变化情况；积极向企业宣传主动披露等海关政策，帮助企业用足用好政策宏利；加强与关税、风控、缉私等部门的协作配合，实现数据和线索互通有无；主动加强关地合作，与市场监管等部门共享信息，消除“多证合一”监管盲区。2022年办理稽查9家，查发7家，查发率77.8%，稽查补税26.2万元；办结核查69家，按时办结率100%，查发53家，查发率76.8%。</w:t>
            </w:r>
          </w:p>
        </w:tc>
      </w:tr>
      <w:tr>
        <w:trPr>
          <w:trHeight w:val="458"/>
        </w:trPr>
        <w:tc>
          <w:tcPr>
            <w:tcW w:w="42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480"/>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84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产出指标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完成企业稽核查作业数量</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≥40个</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78个</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255"/>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组织培训人数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≥30人次</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33人次</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质量指标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按认证标准完成AEO认证企业培育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≥2家</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2家</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效益指标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社会效益指标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受训人员业务能力</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有所提升</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有所提升</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30.0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30.0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72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满意度指标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服务对象满意度指标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企业对海关执法规范化满意度</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383"/>
        </w:trPr>
        <w:tc>
          <w:tcPr>
            <w:tcW w:w="68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1140"/>
        </w:trPr>
        <w:tc>
          <w:tcPr>
            <w:tcW w:w="9660" w:type="dxa"/>
            <w:gridSpan w:val="15"/>
            <w:tcBorders>
              <w:top w:val="single" w:sz="4" w:space="0" w:color="000000"/>
              <w:left w:val="single" w:sz="4" w:space="0" w:color="000000"/>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说明：</w:t>
            </w:r>
          </w:p>
        </w:tc>
      </w:tr>
      <w:tr>
        <w:trPr>
          <w:trHeight w:val="702"/>
          <w:gridAfter w:val="1"/>
          <w:wAfter w:w="288" w:type="dxa"/>
        </w:trPr>
        <w:tc>
          <w:tcPr>
            <w:tcW w:w="9372" w:type="dxa"/>
            <w:gridSpan w:val="14"/>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p>
          <w:p>
            <w:pPr>
              <w:widowControl/>
              <w:jc w:val="center"/>
              <w:rPr>
                <w:rFonts w:ascii="黑体" w:eastAsia="黑体" w:cs="Arial"/>
                <w:kern w:val="0"/>
                <w:sz w:val="32"/>
                <w:szCs w:val="32"/>
              </w:rPr>
            </w:pPr>
          </w:p>
          <w:p>
            <w:pPr>
              <w:widowControl/>
              <w:jc w:val="center"/>
              <w:rPr>
                <w:rFonts w:ascii="黑体" w:eastAsia="黑体" w:cs="Arial"/>
                <w:kern w:val="0"/>
                <w:sz w:val="32"/>
                <w:szCs w:val="32"/>
              </w:rPr>
            </w:pPr>
          </w:p>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gridAfter w:val="1"/>
          <w:wAfter w:w="288" w:type="dxa"/>
        </w:trPr>
        <w:tc>
          <w:tcPr>
            <w:tcW w:w="9372" w:type="dxa"/>
            <w:gridSpan w:val="14"/>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(2022年度)</w:t>
            </w:r>
          </w:p>
        </w:tc>
      </w:tr>
      <w:tr>
        <w:trPr>
          <w:trHeight w:val="255"/>
          <w:gridAfter w:val="1"/>
          <w:wAfter w:w="288" w:type="dxa"/>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6"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6"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400" w:type="dxa"/>
            <w:gridSpan w:val="1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进出口商品质量安全检验监管专项</w:t>
            </w:r>
          </w:p>
        </w:tc>
      </w:tr>
      <w:tr>
        <w:trPr>
          <w:trHeight w:val="379"/>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5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中华人民共和国涪陵海关</w:t>
            </w:r>
          </w:p>
        </w:tc>
      </w:tr>
      <w:tr>
        <w:trPr>
          <w:trHeight w:val="379"/>
        </w:trPr>
        <w:tc>
          <w:tcPr>
            <w:tcW w:w="12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项目资金（万元）</w:t>
            </w: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6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47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5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1902"/>
        </w:trPr>
        <w:tc>
          <w:tcPr>
            <w:tcW w:w="420" w:type="dxa"/>
            <w:vMerge/>
            <w:tcBorders>
              <w:top w:val="nil"/>
              <w:left w:val="single" w:sz="4" w:space="0" w:color="000000"/>
              <w:bottom w:val="single" w:sz="4" w:space="0" w:color="000000"/>
              <w:right w:val="single" w:sz="4" w:space="0" w:color="000000"/>
            </w:tcBorders>
            <w:vAlign w:val="center"/>
          </w:tcPr>
          <w:p/>
        </w:tc>
        <w:tc>
          <w:tcPr>
            <w:tcW w:w="47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目标1：通过购置专用检测材料，并委托专业机构开展商品质量检测，完成年度进出口商品质量安全监验任务，把好关区进出口商品质量关；</w:t>
              <w:br/>
              <w:t>目标2：通过开展进出口商品质量安全检验监管业务培训及宣传，进一步提高进出口商品质量政策与标准知晓度。</w:t>
            </w:r>
          </w:p>
        </w:tc>
        <w:tc>
          <w:tcPr>
            <w:tcW w:w="4500" w:type="dxa"/>
            <w:gridSpan w:val="9"/>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1.完成年度进出口商品质量安全检验任务，按照布控指令和计划送检、检验，把好关区进出口商品质量关；</w:t>
              <w:br/>
              <w:t>2.开展进出口商品质量安全检验监管业务培训及宣传，派员参加相关培训，进出口商品质量政策与标准知晓度有效提高。</w:t>
            </w:r>
          </w:p>
        </w:tc>
      </w:tr>
      <w:tr>
        <w:trPr>
          <w:trHeight w:val="462"/>
        </w:trPr>
        <w:tc>
          <w:tcPr>
            <w:tcW w:w="42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480"/>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84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产出指标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危包从业人员资质取得率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≥65%</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25.0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25.0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目录外进出口商品抽查任务完成率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≥98%</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15.0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15.0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质量指标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监测专用材料质量达标率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≥98%</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效益指标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社会效益指标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区域性质量安全事件</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≤1起</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0起</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30.0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30.0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72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满意度指标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服务对象满意度指标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服务对象满意率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≥96%</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379"/>
        </w:trPr>
        <w:tc>
          <w:tcPr>
            <w:tcW w:w="68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100.0 </w:t>
            </w:r>
          </w:p>
        </w:tc>
        <w:tc>
          <w:tcPr>
            <w:tcW w:w="720" w:type="dxa"/>
            <w:gridSpan w:val="2"/>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100.0 </w:t>
            </w:r>
          </w:p>
        </w:tc>
        <w:tc>
          <w:tcPr>
            <w:tcW w:w="1380" w:type="dxa"/>
            <w:gridSpan w:val="4"/>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1140"/>
        </w:trPr>
        <w:tc>
          <w:tcPr>
            <w:tcW w:w="9660" w:type="dxa"/>
            <w:gridSpan w:val="15"/>
            <w:tcBorders>
              <w:top w:val="single" w:sz="4" w:space="0" w:color="000000"/>
              <w:left w:val="single" w:sz="4" w:space="0" w:color="000000"/>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说明：</w:t>
            </w:r>
          </w:p>
        </w:tc>
      </w:tr>
    </w:tbl>
    <w:p>
      <w:pPr>
        <w:autoSpaceDN w:val="0"/>
        <w:spacing w:line="560" w:lineRule="exact"/>
        <w:rPr>
          <w:rFonts w:eastAsia="方正仿宋_GBK"/>
          <w:sz w:val="32"/>
          <w:szCs w:val="32"/>
        </w:rPr>
      </w:pPr>
    </w:p>
    <w:sectPr>
      <w:pgSz w:w="11907" w:h="16840"/>
      <w:pgMar w:top="1440" w:right="1134" w:bottom="1440" w:left="1134" w:header="851" w:footer="992" w:gutter="0"/>
      <w:docGrid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仿宋">
    <w:panose1 w:val="02010609060101010101"/>
    <w:charset w:val="86"/>
    <w:family w:val="modern"/>
    <w:pitch w:val="variable"/>
    <w:sig w:usb0="800002BF" w:usb1="38CF7CFA" w:usb2="00000016" w:usb3="00000000" w:csb0="00040001"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pitch w:val="variable"/>
    <w:sig w:usb0="00000001" w:usb1="080E0000" w:usb2="00000000" w:usb3="00000000" w:csb0="00040000" w:csb1="00000000"/>
  </w:font>
  <w:font w:name="黑体">
    <w:altName w:val="SimHei"/>
    <w:panose1 w:val="02010609060101010101"/>
    <w:charset w:val="86"/>
    <w:family w:val="modern"/>
    <w:pitch w:val="variable"/>
    <w:sig w:usb0="800002BF" w:usb1="38CF7CFA" w:usb2="00000016" w:usb3="00000000" w:csb0="00040001"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0BE33E23"/>
    <w:multiLevelType w:val="hybridMultilevel"/>
    <w:tmpl w:val="7310A37A"/>
    <w:lvl w:ilvl="0">
      <w:start w:val="1"/>
      <w:numFmt w:val="decimal"/>
      <w:lvlRestart w:val="0"/>
      <w:lvlText w:val="%1."/>
      <w:lvlJc w:val="left"/>
      <w:pPr>
        <w:tabs>
          <w:tab w:val="num" w:pos="0"/>
        </w:tabs>
        <w:ind w:left="1000" w:hanging="360"/>
      </w:pPr>
      <w:rPr>
        <w:rFonts w:hint="default"/>
      </w:rPr>
    </w:lvl>
    <w:lvl w:ilvl="1">
      <w:start w:val="1"/>
      <w:numFmt w:val="lowerLetter"/>
      <w:lvlText w:val="%2)"/>
      <w:lvlJc w:val="left"/>
      <w:pPr>
        <w:tabs>
          <w:tab w:val="num" w:pos="0"/>
        </w:tabs>
        <w:ind w:left="1480" w:hanging="420"/>
      </w:pPr>
    </w:lvl>
    <w:lvl w:ilvl="2">
      <w:start w:val="1"/>
      <w:numFmt w:val="lowerRoman"/>
      <w:lvlText w:val="%3."/>
      <w:lvlJc w:val="right"/>
      <w:pPr>
        <w:tabs>
          <w:tab w:val="num" w:pos="0"/>
        </w:tabs>
        <w:ind w:left="1900" w:hanging="420"/>
      </w:pPr>
    </w:lvl>
    <w:lvl w:ilvl="3">
      <w:start w:val="1"/>
      <w:numFmt w:val="decimal"/>
      <w:lvlText w:val="%4."/>
      <w:lvlJc w:val="left"/>
      <w:pPr>
        <w:tabs>
          <w:tab w:val="num" w:pos="0"/>
        </w:tabs>
        <w:ind w:left="2320" w:hanging="420"/>
      </w:pPr>
    </w:lvl>
    <w:lvl w:ilvl="4">
      <w:start w:val="1"/>
      <w:numFmt w:val="lowerLetter"/>
      <w:lvlText w:val="%5)"/>
      <w:lvlJc w:val="left"/>
      <w:pPr>
        <w:tabs>
          <w:tab w:val="num" w:pos="0"/>
        </w:tabs>
        <w:ind w:left="2740" w:hanging="420"/>
      </w:pPr>
    </w:lvl>
    <w:lvl w:ilvl="5">
      <w:start w:val="1"/>
      <w:numFmt w:val="lowerRoman"/>
      <w:lvlText w:val="%6."/>
      <w:lvlJc w:val="right"/>
      <w:pPr>
        <w:tabs>
          <w:tab w:val="num" w:pos="0"/>
        </w:tabs>
        <w:ind w:left="3160" w:hanging="420"/>
      </w:pPr>
    </w:lvl>
    <w:lvl w:ilvl="6">
      <w:start w:val="1"/>
      <w:numFmt w:val="decimal"/>
      <w:lvlText w:val="%7."/>
      <w:lvlJc w:val="left"/>
      <w:pPr>
        <w:tabs>
          <w:tab w:val="num" w:pos="0"/>
        </w:tabs>
        <w:ind w:left="3580" w:hanging="420"/>
      </w:pPr>
    </w:lvl>
    <w:lvl w:ilvl="7">
      <w:start w:val="1"/>
      <w:numFmt w:val="lowerLetter"/>
      <w:lvlText w:val="%8)"/>
      <w:lvlJc w:val="left"/>
      <w:pPr>
        <w:tabs>
          <w:tab w:val="num" w:pos="0"/>
        </w:tabs>
        <w:ind w:left="4000" w:hanging="420"/>
      </w:pPr>
    </w:lvl>
    <w:lvl w:ilvl="8">
      <w:start w:val="1"/>
      <w:numFmt w:val="lowerRoman"/>
      <w:lvlText w:val="%9."/>
      <w:lvlJc w:val="right"/>
      <w:pPr>
        <w:tabs>
          <w:tab w:val="num" w:pos="0"/>
        </w:tabs>
        <w:ind w:left="442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7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customStyle="1" w:styleId="15">
    <w:name w:val="样式 2 10 磅"/>
    <w:next w:val="0"/>
    <w:pPr>
      <w:widowControl w:val="0"/>
      <w:jc w:val="both"/>
    </w:pPr>
    <w:rPr>
      <w:rFonts w:ascii="Times New Roman" w:eastAsia="宋体" w:cs="Times New Roman" w:hAnsi="Times New Roman"/>
      <w:kern w:val="2"/>
      <w:sz w:val="21"/>
      <w:szCs w:val="24"/>
      <w:lang w:val="en-US" w:eastAsia="zh-CN" w:bidi="ar-SA"/>
    </w:rPr>
  </w:style>
  <w:style w:type="paragraph" w:customStyle="1" w:styleId="16">
    <w:name w:val="Default"/>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character" w:customStyle="1" w:styleId="17">
    <w:name w:val="im-content1"/>
    <w:basedOn w:val="10"/>
    <w:rPr>
      <w:color w:val="000000"/>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4"/>
      <w:lang w:val="en-US" w:eastAsia="zh-CN" w:bidi="ar-SA"/>
    </w:rPr>
  </w:style>
  <w:style w:type="paragraph" w:styleId="20">
    <w:name w:val="toc 3"/>
    <w:basedOn w:val="0"/>
    <w:autoRedefine/>
    <w:next w:val="0"/>
    <w:pPr>
      <w:ind w:left="840"/>
    </w:pPr>
  </w:style>
  <w:style w:type="paragraph" w:styleId="21">
    <w:name w:val="toc 4"/>
    <w:basedOn w:val="0"/>
    <w:autoRedefine/>
    <w:next w:val="0"/>
    <w:pPr>
      <w:ind w:left="1260"/>
    </w:pPr>
  </w:style>
  <w:style w:type="paragraph" w:styleId="22">
    <w:name w:val="toc 5"/>
    <w:basedOn w:val="0"/>
    <w:autoRedefine/>
    <w:next w:val="0"/>
    <w:pPr>
      <w:ind w:left="1680"/>
    </w:pPr>
  </w:style>
  <w:style w:type="paragraph" w:styleId="23">
    <w:name w:val="toc 6"/>
    <w:basedOn w:val="0"/>
    <w:autoRedefine/>
    <w:next w:val="0"/>
    <w:pPr>
      <w:ind w:left="2100"/>
    </w:pPr>
  </w:style>
  <w:style w:type="paragraph" w:customStyle="1" w:styleId="24">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25">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26">
    <w:name w:val="样式 5 小四"/>
    <w:next w:val="20"/>
    <w:rPr>
      <w:rFonts w:ascii="Times New Roman" w:eastAsia="宋体" w:cs="Times New Roman" w:hAnsi="Times New Roman"/>
      <w:sz w:val="24"/>
      <w:szCs w:val="24"/>
      <w:lang w:val="en-US" w:eastAsia="zh-CN" w:bidi="ar-SA"/>
    </w:rPr>
  </w:style>
  <w:style w:type="paragraph" w:customStyle="1" w:styleId="27">
    <w:name w:val="样式 6 小四"/>
    <w:next w:val="21"/>
    <w:rPr>
      <w:rFonts w:ascii="Times New Roman" w:eastAsia="宋体" w:cs="Times New Roman" w:hAnsi="Times New Roman"/>
      <w:sz w:val="24"/>
      <w:szCs w:val="24"/>
      <w:lang w:val="en-US" w:eastAsia="zh-CN" w:bidi="ar-SA"/>
    </w:rPr>
  </w:style>
  <w:style w:type="paragraph" w:customStyle="1" w:styleId="28">
    <w:name w:val="样式 2 三号"/>
    <w:next w:val="22"/>
    <w:pPr>
      <w:jc w:val="both"/>
    </w:pPr>
    <w:rPr>
      <w:rFonts w:ascii="Times New Roman" w:eastAsia="宋体" w:cs="Times New Roman" w:hAnsi="Times New Roman"/>
      <w:sz w:val="32"/>
      <w:szCs w:val="32"/>
      <w:lang w:val="en-US" w:eastAsia="zh-CN" w:bidi="ar-SA"/>
    </w:rPr>
  </w:style>
  <w:style w:type="paragraph" w:customStyle="1" w:styleId="29">
    <w:name w:val="样式 7 小四"/>
    <w:next w:val="23"/>
    <w:rPr>
      <w:rFonts w:ascii="宋体" w:eastAsia="宋体" w:cs="宋体"/>
      <w:sz w:val="24"/>
      <w:szCs w:val="24"/>
      <w:lang w:val="en-US" w:eastAsia="zh-CN" w:bidi="ar-SA"/>
    </w:rPr>
  </w:style>
  <w:style w:type="paragraph" w:customStyle="1" w:styleId="30">
    <w:name w:val="样式 1 三号"/>
    <w:pPr>
      <w:widowControl w:val="0"/>
      <w:jc w:val="both"/>
    </w:pPr>
    <w:rPr>
      <w:rFonts w:ascii="Times New Roman" w:eastAsia="方正仿宋_GBK" w:cs="Times New Roman" w:hAnsi="Times New Roman"/>
      <w:kern w:val="2"/>
      <w:sz w:val="32"/>
      <w:lang w:val="en-US" w:eastAsia="zh-CN" w:bidi="ar-SA"/>
    </w:rPr>
  </w:style>
  <w:style w:type="paragraph" w:customStyle="1" w:styleId="31">
    <w:name w:val="样式 小三"/>
    <w:pPr>
      <w:widowControl w:val="0"/>
      <w:jc w:val="both"/>
    </w:pPr>
    <w:rPr>
      <w:rFonts w:ascii="Times New Roman" w:eastAsia="仿宋_GB2312" w:cs="Times New Roman" w:hAnsi="Times New Roman"/>
      <w:kern w:val="2"/>
      <w:sz w:val="30"/>
      <w:szCs w:val="30"/>
      <w:lang w:val="en-US" w:eastAsia="zh-CN" w:bidi="ar-SA"/>
    </w:rPr>
  </w:style>
  <w:style w:type="paragraph" w:customStyle="1" w:styleId="32">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4">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5">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36">
    <w:name w:val="样式 小四"/>
    <w:pPr>
      <w:widowControl w:val="0"/>
    </w:pPr>
    <w:rPr>
      <w:rFonts w:ascii="宋体" w:eastAsia="宋体" w:cs="Times New Roman"/>
      <w:kern w:val="2"/>
      <w:sz w:val="24"/>
      <w:szCs w:val="21"/>
      <w:lang w:val="en-US" w:eastAsia="zh-CN" w:bidi="ar-SA"/>
    </w:rPr>
  </w:style>
  <w:style w:type="paragraph" w:styleId="37">
    <w:name w:val="Balloon Text"/>
    <w:basedOn w:val="0"/>
    <w:rPr>
      <w:sz w:val="18"/>
      <w:szCs w:val="18"/>
    </w:rPr>
  </w:style>
  <w:style w:type="paragraph" w:styleId="38">
    <w:name w:val="header"/>
    <w:basedOn w:val="0"/>
    <w:pPr>
      <w:pBdr>
        <w:bottom w:val="single" w:sz="6" w:space="1" w:color="auto"/>
      </w:pBdr>
      <w:tabs>
        <w:tab w:val="center" w:pos="4153"/>
        <w:tab w:val="right" w:pos="8306"/>
      </w:tabs>
      <w:snapToGrid w:val="0"/>
      <w:jc w:val="center"/>
    </w:pPr>
    <w:rPr>
      <w:sz w:val="18"/>
      <w:szCs w:val="18"/>
    </w:rPr>
  </w:style>
  <w:style w:type="paragraph" w:styleId="39">
    <w:name w:val="footer"/>
    <w:basedOn w:val="0"/>
    <w:pPr>
      <w:tabs>
        <w:tab w:val="center" w:pos="4153"/>
        <w:tab w:val="right" w:pos="8306"/>
      </w:tabs>
      <w:snapToGrid w:val="0"/>
      <w:jc w:val="left"/>
    </w:pPr>
    <w:rPr>
      <w:sz w:val="18"/>
      <w:szCs w:val="18"/>
    </w:rPr>
  </w:style>
  <w:style w:type="paragraph" w:customStyle="1" w:styleId="40">
    <w:name w:val="样式 8 10 磅"/>
    <w:pPr>
      <w:widowControl w:val="0"/>
      <w:jc w:val="both"/>
    </w:pPr>
    <w:rPr>
      <w:rFonts w:ascii="Times New Roman" w:eastAsia="宋体" w:cs="Times New Roman" w:hAnsi="Times New Roman"/>
      <w:kern w:val="2"/>
      <w:sz w:val="21"/>
      <w:szCs w:val="24"/>
      <w:lang w:val="en-US" w:eastAsia="zh-CN" w:bidi="ar-SA"/>
    </w:rPr>
  </w:style>
  <w:style w:type="paragraph" w:customStyle="1" w:styleId="41">
    <w:name w:val="样式 9 10 磅"/>
    <w:pPr>
      <w:widowControl w:val="0"/>
      <w:jc w:val="both"/>
    </w:pPr>
    <w:rPr>
      <w:rFonts w:ascii="Times New Roman" w:eastAsia="宋体" w:cs="Times New Roman" w:hAnsi="Times New Roman"/>
      <w:kern w:val="2"/>
      <w:sz w:val="21"/>
      <w:szCs w:val="24"/>
      <w:lang w:val="en-US" w:eastAsia="zh-CN" w:bidi="ar-SA"/>
    </w:rPr>
  </w:style>
  <w:style w:type="paragraph" w:customStyle="1" w:styleId="42">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43">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44">
    <w:name w:val="样式 12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3 10 磅"/>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14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15 10 磅"/>
    <w:pPr>
      <w:widowControl w:val="0"/>
      <w:jc w:val="both"/>
    </w:pPr>
    <w:rPr>
      <w:rFonts w:ascii="Times New Roman" w:eastAsia="宋体" w:cs="Times New Roman" w:hAnsi="Times New Roman"/>
      <w:kern w:val="2"/>
      <w:sz w:val="21"/>
      <w:szCs w:val="24"/>
      <w:lang w:val="en-US" w:eastAsia="zh-CN" w:bidi="ar-SA"/>
    </w:rPr>
  </w:style>
  <w:style w:type="paragraph" w:customStyle="1" w:styleId="48">
    <w:name w:val="样式 16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18 10 磅"/>
    <w:pPr>
      <w:widowControl w:val="0"/>
      <w:jc w:val="both"/>
    </w:pPr>
    <w:rPr>
      <w:rFonts w:ascii="Times New Roman" w:eastAsia="宋体" w:cs="Times New Roman" w:hAnsi="Times New Roman"/>
      <w:kern w:val="2"/>
      <w:sz w:val="21"/>
      <w:szCs w:val="24"/>
      <w:lang w:val="en-US" w:eastAsia="zh-CN" w:bidi="ar-SA"/>
    </w:rPr>
  </w:style>
  <w:style w:type="paragraph" w:customStyle="1" w:styleId="51">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52">
    <w:name w:val="样式 20 10 磅"/>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54">
    <w:name w:val="样式 1 小四"/>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paragraph" w:customStyle="1" w:styleId="55">
    <w:name w:val="样式 1 小三"/>
    <w:pPr>
      <w:widowControl w:val="0"/>
      <w:jc w:val="both"/>
    </w:pPr>
    <w:rPr>
      <w:rFonts w:ascii="Times New Roman" w:eastAsia="仿宋_GB2312" w:cs="Times New Roman" w:hAnsi="Times New Roman"/>
      <w:kern w:val="2"/>
      <w:sz w:val="30"/>
      <w:szCs w:val="30"/>
      <w:lang w:val="en-US" w:eastAsia="zh-CN" w:bidi="ar-SA"/>
    </w:rPr>
  </w:style>
  <w:style w:type="paragraph" w:styleId="56">
    <w:name w:val="Body Text"/>
    <w:pPr>
      <w:widowControl w:val="0"/>
      <w:autoSpaceDE w:val="0"/>
      <w:autoSpaceDN w:val="0"/>
    </w:pPr>
    <w:rPr>
      <w:rFonts w:ascii="仿宋" w:eastAsia="仿宋" w:cs="仿宋"/>
      <w:sz w:val="32"/>
      <w:szCs w:val="32"/>
      <w:lang w:val="zh-CN" w:eastAsia="zh-CN" w:bidi="ar-SA"/>
    </w:rPr>
  </w:style>
  <w:style w:type="paragraph" w:customStyle="1" w:styleId="57">
    <w:name w:val="样式 3 三号"/>
    <w:next w:val="59"/>
    <w:pPr>
      <w:widowControl w:val="0"/>
      <w:jc w:val="both"/>
    </w:pPr>
    <w:rPr>
      <w:rFonts w:ascii="Times New Roman" w:eastAsia="方正仿宋_GBK" w:cs="Times New Roman" w:hAnsi="Times New Roman"/>
      <w:kern w:val="2"/>
      <w:sz w:val="32"/>
      <w:lang w:val="en-US" w:eastAsia="zh-CN" w:bidi="ar-SA"/>
    </w:rPr>
  </w:style>
  <w:style w:type="paragraph" w:customStyle="1" w:styleId="58">
    <w:name w:val="样式 71 三号"/>
    <w:next w:val="16"/>
    <w:pPr>
      <w:widowControl w:val="0"/>
      <w:autoSpaceDE w:val="0"/>
      <w:autoSpaceDN w:val="0"/>
    </w:pPr>
    <w:rPr>
      <w:rFonts w:ascii="仿宋" w:eastAsia="仿宋" w:cs="仿宋"/>
      <w:sz w:val="32"/>
      <w:szCs w:val="32"/>
      <w:lang w:val="zh-CN" w:eastAsia="zh-CN" w:bidi="ar-SA"/>
    </w:rPr>
  </w:style>
  <w:style w:type="paragraph" w:customStyle="1" w:styleId="59">
    <w:name w:val="样式 3 三号"/>
    <w:pPr>
      <w:widowControl w:val="0"/>
      <w:jc w:val="both"/>
    </w:pPr>
    <w:rPr>
      <w:rFonts w:ascii="Times New Roman" w:eastAsia="方正仿宋_GBK" w:cs="Times New Roman" w:hAnsi="Times New Roman"/>
      <w:kern w:val="2"/>
      <w:sz w:val="32"/>
      <w:lang w:val="en-US" w:eastAsia="zh-CN" w:bidi="ar-SA"/>
    </w:rPr>
  </w:style>
  <w:style w:type="paragraph" w:customStyle="1" w:styleId="60">
    <w:name w:val="样式 22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image" Target="media/8.png"/><Relationship Id="rId5" Type="http://schemas.openxmlformats.org/officeDocument/2006/relationships/image" Target="media/11.png"/><Relationship Id="rId6" Type="http://schemas.openxmlformats.org/officeDocument/2006/relationships/image" Target="media/14.png"/><Relationship Id="rId7" Type="http://schemas.openxmlformats.org/officeDocument/2006/relationships/image" Target="media/17.png"/><Relationship Id="rId8" Type="http://schemas.openxmlformats.org/officeDocument/2006/relationships/styles" Target="styles.xml"/><Relationship Id="rId9" Type="http://schemas.openxmlformats.org/officeDocument/2006/relationships/numbering" Target="numbering.xml"/><Relationship Id="rId10" Type="http://schemas.openxmlformats.org/officeDocument/2006/relationships/fontTable" Target="fontTable.xml"/></Relationships>
</file>

<file path=docProps/app.xml><?xml version="1.0" encoding="utf-8"?>
<Properties xmlns="http://schemas.openxmlformats.org/officeDocument/2006/extended-properties">
  <Template>Normal.eit</Template>
  <TotalTime>142</TotalTime>
  <Application>Yozo_Office</Application>
  <Pages>27</Pages>
  <Words>7480</Words>
  <Characters>9084</Characters>
  <Lines>1614</Lines>
  <Paragraphs>919</Paragraphs>
  <CharactersWithSpaces>9414</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海关总署2019年度</dc:title>
  <dc:creator>lu_wei</dc:creator>
  <cp:lastModifiedBy>苏行</cp:lastModifiedBy>
  <cp:revision>56</cp:revision>
  <dcterms:created xsi:type="dcterms:W3CDTF">2023-08-09T05:53:00Z</dcterms:created>
  <dcterms:modified xsi:type="dcterms:W3CDTF">2023-08-18T03:12:04Z</dcterms:modified>
</cp:coreProperties>
</file>