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ordWrap w:val="0"/>
        <w:autoSpaceDE w:val="0"/>
        <w:autoSpaceDN w:val="0"/>
        <w:spacing w:after="1954" w:line="14" w:lineRule="exact"/>
      </w:pPr>
      <w:bookmarkStart w:id="0" w:name="_GoBack"/>
      <w:bookmarkEnd w:id="0"/>
    </w:p>
    <w:p>
      <w:pPr>
        <w:wordWrap w:val="0"/>
        <w:autoSpaceDE w:val="0"/>
        <w:autoSpaceDN w:val="0"/>
        <w:spacing w:before="3935" w:after="159" w:line="929" w:lineRule="exact"/>
        <w:ind w:left="2831"/>
      </w:pPr>
      <w:r>
        <w:rPr>
          <w:rFonts w:ascii="Times New Roman" w:eastAsia="SimSun" w:cs="Times New Roman" w:hAnsi="Times New Roman"/>
          <w:b/>
          <w:color w:val="000000"/>
          <w:sz w:val="84"/>
        </w:rPr>
        <w:t>2022</w:t>
      </w:r>
      <w:r>
        <w:rPr>
          <w:rFonts w:ascii="SimSun" w:eastAsia="SimSun"/>
          <w:b/>
          <w:color w:val="000000"/>
          <w:spacing w:val="4"/>
          <w:sz w:val="84"/>
          <w:lang w:eastAsia="zh-CN"/>
        </w:rPr>
        <w:t>年度</w:t>
      </w:r>
    </w:p>
    <w:p>
      <w:pPr>
        <w:wordWrap w:val="0"/>
        <w:autoSpaceDE w:val="0"/>
        <w:autoSpaceDN w:val="0"/>
        <w:spacing w:before="319" w:after="204" w:line="840" w:lineRule="exact"/>
        <w:ind w:left="1140"/>
      </w:pPr>
      <w:r>
        <w:rPr>
          <w:rFonts w:ascii="SimSun" w:eastAsia="SimSun"/>
          <w:b/>
          <w:color w:val="000000"/>
          <w:spacing w:val="4"/>
          <w:sz w:val="84"/>
          <w:lang w:eastAsia="zh-CN"/>
        </w:rPr>
        <w:t>重庆海关评审中心</w:t>
      </w:r>
    </w:p>
    <w:p>
      <w:pPr>
        <w:wordWrap w:val="0"/>
        <w:autoSpaceDE w:val="0"/>
        <w:autoSpaceDN w:val="0"/>
        <w:spacing w:before="408" w:after="0" w:line="840" w:lineRule="exact"/>
        <w:ind w:left="2828"/>
      </w:pPr>
      <w:r>
        <w:rPr>
          <w:rFonts w:ascii="SimSun" w:eastAsia="SimSun"/>
          <w:b/>
          <w:color w:val="000000"/>
          <w:spacing w:val="2"/>
          <w:sz w:val="84"/>
          <w:lang w:eastAsia="zh-CN"/>
        </w:rPr>
        <w:t>部门决算</w:t>
      </w:r>
    </w:p>
    <w:p>
      <w:pPr>
        <w:spacing w:after="0"/>
        <w:sectPr>
          <w:pgSz w:w="11906" w:h="16841"/>
          <w:pgMar w:top="1440" w:right="1440" w:bottom="1440" w:left="1440" w:header="720" w:footer="720" w:gutter="0"/>
          <w:docGrid w:linePitch="360" w:charSpace="0"/>
        </w:sectPr>
      </w:pPr>
    </w:p>
    <w:p>
      <w:pPr>
        <w:wordWrap w:val="0"/>
        <w:autoSpaceDE w:val="0"/>
        <w:autoSpaceDN w:val="0"/>
        <w:spacing w:after="400" w:line="14" w:lineRule="exact"/>
      </w:pPr>
    </w:p>
    <w:p>
      <w:pPr>
        <w:wordWrap w:val="0"/>
        <w:autoSpaceDE w:val="0"/>
        <w:autoSpaceDN w:val="0"/>
        <w:spacing w:before="828" w:after="234" w:line="840" w:lineRule="exact"/>
        <w:ind w:left="3251"/>
        <w:rPr>
          <w:rFonts w:ascii="SimSun" w:eastAsia="SimSun"/>
          <w:b/>
          <w:color w:val="000000"/>
          <w:spacing w:val="2"/>
          <w:sz w:val="84"/>
          <w:lang w:eastAsia="zh-CN"/>
        </w:rPr>
      </w:pPr>
    </w:p>
    <w:p>
      <w:pPr>
        <w:wordWrap w:val="0"/>
        <w:autoSpaceDE w:val="0"/>
        <w:autoSpaceDN w:val="0"/>
        <w:spacing w:before="828" w:after="234" w:line="840" w:lineRule="exact"/>
        <w:ind w:left="3251"/>
      </w:pPr>
      <w:r>
        <w:rPr>
          <w:rFonts w:ascii="SimSun" w:eastAsia="SimSun"/>
          <w:b/>
          <w:color w:val="000000"/>
          <w:spacing w:val="2"/>
          <w:sz w:val="84"/>
          <w:lang w:eastAsia="zh-CN"/>
        </w:rPr>
        <w:t>目</w:t>
      </w:r>
      <w:r>
        <w:rPr>
          <w:rFonts w:ascii="Times New Roman" w:eastAsia="SimSun" w:hAnsi="Times New Roman"/>
          <w:b/>
          <w:color w:val="000000"/>
          <w:spacing w:val="635"/>
          <w:sz w:val="84"/>
        </w:rPr>
        <w:t xml:space="preserve"> </w:t>
      </w:r>
      <w:r>
        <w:rPr>
          <w:rFonts w:ascii="SimSun" w:eastAsia="SimSun"/>
          <w:b/>
          <w:color w:val="000000"/>
          <w:spacing w:val="2"/>
          <w:sz w:val="84"/>
          <w:lang w:eastAsia="zh-CN"/>
        </w:rPr>
        <w:t>录</w:t>
      </w:r>
    </w:p>
    <w:p>
      <w:pPr>
        <w:wordWrap w:val="0"/>
        <w:autoSpaceDE w:val="0"/>
        <w:autoSpaceDN w:val="0"/>
        <w:spacing w:before="468" w:after="188" w:line="439" w:lineRule="exact"/>
        <w:ind w:left="358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44"/>
          <w:lang w:eastAsia="zh-CN"/>
        </w:rPr>
        <w:t>一</w:t>
      </w:r>
      <w:r>
        <w:rPr>
          <w:rFonts w:ascii="方正黑体_GBK" w:eastAsia="方正黑体_GBK" w:hint="eastAsia"/>
          <w:color w:val="000000"/>
          <w:sz w:val="44"/>
          <w:lang w:eastAsia="zh-CN"/>
        </w:rPr>
        <w:t>、</w:t>
      </w:r>
      <w:r>
        <w:rPr>
          <w:rFonts w:ascii="方正黑体_GBK" w:eastAsia="方正黑体_GBK" w:hint="eastAsia"/>
          <w:color w:val="000000"/>
          <w:spacing w:val="1"/>
          <w:sz w:val="44"/>
          <w:lang w:eastAsia="zh-CN"/>
        </w:rPr>
        <w:t>重庆海关评审中心概况</w:t>
      </w:r>
    </w:p>
    <w:p>
      <w:pPr>
        <w:wordWrap w:val="0"/>
        <w:autoSpaceDE w:val="0"/>
        <w:autoSpaceDN w:val="0"/>
        <w:spacing w:before="376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（一）单位基本情况</w:t>
      </w:r>
    </w:p>
    <w:p>
      <w:pPr>
        <w:wordWrap w:val="0"/>
        <w:autoSpaceDE w:val="0"/>
        <w:autoSpaceDN w:val="0"/>
        <w:spacing w:before="264" w:after="184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（二）部门决算范围</w:t>
      </w:r>
    </w:p>
    <w:p>
      <w:pPr>
        <w:wordWrap w:val="0"/>
        <w:autoSpaceDE w:val="0"/>
        <w:autoSpaceDN w:val="0"/>
        <w:spacing w:before="368" w:after="188" w:line="456" w:lineRule="exact"/>
        <w:ind w:left="358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44"/>
          <w:lang w:eastAsia="zh-CN"/>
        </w:rPr>
        <w:t>二</w:t>
      </w:r>
      <w:r>
        <w:rPr>
          <w:rFonts w:ascii="方正黑体_GBK" w:eastAsia="方正黑体_GBK" w:hint="eastAsia"/>
          <w:color w:val="000000"/>
          <w:sz w:val="44"/>
          <w:lang w:eastAsia="zh-CN"/>
        </w:rPr>
        <w:t>、</w:t>
      </w:r>
      <w:r>
        <w:rPr>
          <w:rFonts w:ascii="Times New Roman" w:eastAsia="方正黑体_GBK" w:cs="Times New Roman" w:hAnsi="Times New Roman"/>
          <w:color w:val="000000"/>
          <w:spacing w:val="1"/>
          <w:sz w:val="44"/>
        </w:rPr>
        <w:t>2022</w:t>
      </w:r>
      <w:r>
        <w:rPr>
          <w:rFonts w:ascii="方正黑体_GBK" w:eastAsia="方正黑体_GBK" w:hint="eastAsia"/>
          <w:color w:val="000000"/>
          <w:spacing w:val="1"/>
          <w:sz w:val="44"/>
          <w:lang w:eastAsia="zh-CN"/>
        </w:rPr>
        <w:t>年度部门决算表</w:t>
      </w:r>
    </w:p>
    <w:p>
      <w:pPr>
        <w:wordWrap w:val="0"/>
        <w:autoSpaceDE w:val="0"/>
        <w:autoSpaceDN w:val="0"/>
        <w:spacing w:before="376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（一）收入支出决算总表</w:t>
      </w:r>
    </w:p>
    <w:p>
      <w:pPr>
        <w:wordWrap w:val="0"/>
        <w:autoSpaceDE w:val="0"/>
        <w:autoSpaceDN w:val="0"/>
        <w:spacing w:before="264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（二）收入决算表</w:t>
      </w:r>
    </w:p>
    <w:p>
      <w:pPr>
        <w:wordWrap w:val="0"/>
        <w:autoSpaceDE w:val="0"/>
        <w:autoSpaceDN w:val="0"/>
        <w:spacing w:before="264" w:after="184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（三）支出决算表</w:t>
      </w:r>
    </w:p>
    <w:p>
      <w:pPr>
        <w:wordWrap w:val="0"/>
        <w:autoSpaceDE w:val="0"/>
        <w:autoSpaceDN w:val="0"/>
        <w:spacing w:before="368" w:after="188" w:line="456" w:lineRule="exact"/>
        <w:ind w:left="358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44"/>
          <w:lang w:eastAsia="zh-CN"/>
        </w:rPr>
        <w:t>三</w:t>
      </w:r>
      <w:r>
        <w:rPr>
          <w:rFonts w:ascii="方正黑体_GBK" w:eastAsia="方正黑体_GBK" w:hint="eastAsia"/>
          <w:color w:val="000000"/>
          <w:sz w:val="44"/>
          <w:lang w:eastAsia="zh-CN"/>
        </w:rPr>
        <w:t>、</w:t>
      </w:r>
      <w:r>
        <w:rPr>
          <w:rFonts w:ascii="Times New Roman" w:eastAsia="方正黑体_GBK" w:cs="Times New Roman" w:hAnsi="Times New Roman"/>
          <w:color w:val="000000"/>
          <w:spacing w:val="1"/>
          <w:sz w:val="44"/>
        </w:rPr>
        <w:t>2022</w:t>
      </w:r>
      <w:r>
        <w:rPr>
          <w:rFonts w:ascii="方正黑体_GBK" w:eastAsia="方正黑体_GBK" w:hint="eastAsia"/>
          <w:color w:val="000000"/>
          <w:spacing w:val="1"/>
          <w:sz w:val="44"/>
          <w:lang w:eastAsia="zh-CN"/>
        </w:rPr>
        <w:t>年度部门决算情况说明</w:t>
      </w:r>
    </w:p>
    <w:p>
      <w:pPr>
        <w:wordWrap w:val="0"/>
        <w:autoSpaceDE w:val="0"/>
        <w:autoSpaceDN w:val="0"/>
        <w:spacing w:before="376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（一）收入支出决算总体情况说明</w:t>
      </w:r>
    </w:p>
    <w:p>
      <w:pPr>
        <w:wordWrap w:val="0"/>
        <w:autoSpaceDE w:val="0"/>
        <w:autoSpaceDN w:val="0"/>
        <w:spacing w:before="264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（二）收入决算情况说明</w:t>
      </w:r>
    </w:p>
    <w:p>
      <w:pPr>
        <w:wordWrap w:val="0"/>
        <w:autoSpaceDE w:val="0"/>
        <w:autoSpaceDN w:val="0"/>
        <w:spacing w:before="264" w:after="132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（三）支出决算情况说明</w:t>
      </w:r>
    </w:p>
    <w:p>
      <w:pPr>
        <w:wordWrap w:val="0"/>
        <w:autoSpaceDE w:val="0"/>
        <w:autoSpaceDN w:val="0"/>
        <w:spacing w:before="264" w:after="0" w:line="360" w:lineRule="exact"/>
        <w:ind w:left="718"/>
        <w:rPr>
          <w:rFonts w:ascii="方正楷体_GBK" w:eastAsia="方正楷体_GBK"/>
        </w:rPr>
      </w:pPr>
      <w:r>
        <w:rPr>
          <w:rFonts w:ascii="方正楷体_GBK" w:eastAsia="方正楷体_GBK" w:hint="eastAsia"/>
          <w:color w:val="000000"/>
          <w:sz w:val="36"/>
          <w:lang w:eastAsia="zh-CN"/>
        </w:rPr>
        <w:t>（四）财政拨款收入支出总体情况说明</w:t>
      </w:r>
    </w:p>
    <w:p>
      <w:pPr>
        <w:spacing w:after="0"/>
        <w:rPr>
          <w:rFonts w:ascii="方正楷体_GBK" w:eastAsia="方正楷体_GBK"/>
        </w:rPr>
        <w:sectPr>
          <w:pgSz w:w="11906" w:h="16841"/>
          <w:pgMar w:top="802" w:right="1440" w:bottom="1440" w:left="1440" w:header="720" w:footer="720" w:gutter="0"/>
          <w:docGrid w:linePitch="360" w:charSpace="0"/>
        </w:sectPr>
      </w:pPr>
    </w:p>
    <w:p>
      <w:pPr>
        <w:wordWrap w:val="0"/>
        <w:autoSpaceDE w:val="0"/>
        <w:autoSpaceDN w:val="0"/>
        <w:spacing w:after="401" w:line="14" w:lineRule="exact"/>
      </w:pP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48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32"/>
          <w:lang w:eastAsia="zh-CN"/>
        </w:rPr>
        <w:t>一</w:t>
      </w:r>
      <w:r>
        <w:rPr>
          <w:rFonts w:ascii="方正黑体_GBK" w:eastAsia="方正黑体_GBK" w:hint="eastAsia"/>
          <w:color w:val="000000"/>
          <w:sz w:val="32"/>
          <w:lang w:eastAsia="zh-CN"/>
        </w:rPr>
        <w:t>、</w:t>
      </w:r>
      <w:r>
        <w:rPr>
          <w:rFonts w:ascii="方正黑体_GBK" w:eastAsia="方正黑体_GBK" w:hint="eastAsia"/>
          <w:color w:val="000000"/>
          <w:spacing w:val="1"/>
          <w:sz w:val="32"/>
          <w:lang w:eastAsia="zh-CN"/>
        </w:rPr>
        <w:t>重庆海关评审中心概况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48"/>
        <w:rPr>
          <w:rFonts w:ascii="方正楷体_GBK" w:eastAsia="方正楷体_GBK"/>
          <w:b/>
          <w:color w:val="000000"/>
          <w:spacing w:val="4"/>
          <w:sz w:val="32"/>
          <w:szCs w:val="32"/>
          <w:lang w:eastAsia="zh-CN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szCs w:val="32"/>
          <w:lang w:eastAsia="zh-CN"/>
        </w:rPr>
        <w:t>（一）单位基本情况</w:t>
      </w:r>
      <w:r>
        <w:rPr>
          <w:rFonts w:ascii="方正楷体_GBK" w:eastAsia="方正楷体_GBK" w:hint="eastAsia"/>
          <w:b/>
          <w:color w:val="000000"/>
          <w:spacing w:val="4"/>
          <w:sz w:val="32"/>
          <w:szCs w:val="32"/>
          <w:lang w:eastAsia="zh-CN"/>
        </w:rPr>
        <w:t>。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12"/>
        <w:rPr>
          <w:rFonts w:ascii="方正仿宋_GBK" w:eastAsia="方正仿宋_GBK"/>
          <w:color w:val="000000"/>
          <w:spacing w:val="-6"/>
          <w:sz w:val="32"/>
          <w:lang w:eastAsia="zh-CN"/>
        </w:rPr>
      </w:pP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重庆海关评审中心隶属于重庆海关</w:t>
      </w:r>
      <w:r>
        <w:rPr>
          <w:rFonts w:ascii="方正仿宋_GBK" w:eastAsia="方正仿宋_GBK" w:hint="eastAsia"/>
          <w:color w:val="000000"/>
          <w:spacing w:val="-118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-6"/>
          <w:sz w:val="32"/>
          <w:lang w:eastAsia="zh-CN"/>
        </w:rPr>
        <w:t>为生产经营类事业单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位</w:t>
      </w:r>
      <w:r>
        <w:rPr>
          <w:rFonts w:ascii="方正仿宋_GBK" w:eastAsia="方正仿宋_GBK" w:hint="eastAsia"/>
          <w:color w:val="000000"/>
          <w:spacing w:val="-62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主要负责为申请人提供管理体系及产品检测评审服务</w:t>
      </w:r>
      <w:r>
        <w:rPr>
          <w:rFonts w:ascii="方正仿宋_GBK" w:eastAsia="方正仿宋_GBK" w:hint="eastAsia"/>
          <w:color w:val="000000"/>
          <w:spacing w:val="-62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z w:val="32"/>
          <w:lang w:eastAsia="zh-CN"/>
        </w:rPr>
        <w:t>管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理体系评审自愿性产品检测评审，相关评审业务培训</w:t>
      </w:r>
      <w:r>
        <w:rPr>
          <w:rFonts w:ascii="方正仿宋_GBK" w:eastAsia="方正仿宋_GBK" w:hint="eastAsia"/>
          <w:color w:val="000000"/>
          <w:spacing w:val="-6"/>
          <w:sz w:val="32"/>
          <w:lang w:eastAsia="zh-CN"/>
        </w:rPr>
        <w:t>。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32"/>
        <w:rPr>
          <w:rFonts w:ascii="方正仿宋_GBK" w:eastAsia="方正仿宋_GBK"/>
          <w:color w:val="000000"/>
          <w:spacing w:val="-55"/>
          <w:sz w:val="32"/>
          <w:lang w:eastAsia="zh-CN"/>
        </w:rPr>
      </w:pPr>
      <w:r>
        <w:rPr>
          <w:rFonts w:ascii="方正仿宋_GBK" w:eastAsia="方正仿宋_GBK" w:hint="eastAsia"/>
          <w:color w:val="000000"/>
          <w:spacing w:val="-2"/>
          <w:sz w:val="32"/>
          <w:lang w:eastAsia="zh-CN"/>
        </w:rPr>
        <w:t>重庆海关评审中心核定编制数</w:t>
      </w:r>
      <w:r>
        <w:rPr>
          <w:rFonts w:ascii="方正仿宋_GBK" w:eastAsia="方正仿宋_GBK" w:hint="eastAsia"/>
          <w:color w:val="000000"/>
          <w:spacing w:val="53"/>
          <w:sz w:val="32"/>
        </w:rPr>
        <w:t xml:space="preserve"> </w:t>
      </w:r>
      <w:r>
        <w:rPr>
          <w:rFonts w:ascii="Times New Roman" w:eastAsia="方正仿宋_GBK" w:cs="Times New Roman" w:hAnsi="Times New Roman"/>
          <w:color w:val="000000"/>
          <w:spacing w:val="-1"/>
          <w:sz w:val="32"/>
        </w:rPr>
        <w:t>3</w:t>
      </w:r>
      <w:r>
        <w:rPr>
          <w:rFonts w:ascii="方正仿宋_GBK" w:eastAsia="方正仿宋_GBK" w:hint="eastAsia"/>
          <w:color w:val="000000"/>
          <w:spacing w:val="55"/>
          <w:sz w:val="32"/>
        </w:rPr>
        <w:t xml:space="preserve"> 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人，</w:t>
      </w:r>
      <w:r>
        <w:rPr>
          <w:rFonts w:ascii="方正仿宋_GBK" w:eastAsia="方正仿宋_GBK" w:hint="eastAsia"/>
          <w:color w:val="000000"/>
          <w:spacing w:val="-6"/>
          <w:sz w:val="32"/>
          <w:lang w:eastAsia="zh-CN"/>
        </w:rPr>
        <w:t>为财政补助事业编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制</w:t>
      </w:r>
      <w:r>
        <w:rPr>
          <w:rFonts w:ascii="方正仿宋_GBK" w:eastAsia="方正仿宋_GBK" w:hint="eastAsia"/>
          <w:color w:val="000000"/>
          <w:spacing w:val="-55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-6"/>
          <w:sz w:val="32"/>
          <w:lang w:eastAsia="zh-CN"/>
        </w:rPr>
        <w:t>实有在职人数</w:t>
      </w:r>
      <w:r>
        <w:rPr>
          <w:rFonts w:ascii="方正仿宋_GBK" w:eastAsia="方正仿宋_GBK" w:hint="eastAsia"/>
          <w:color w:val="000000"/>
          <w:spacing w:val="-7"/>
          <w:sz w:val="32"/>
        </w:rPr>
        <w:t xml:space="preserve"> </w:t>
      </w:r>
      <w:r>
        <w:rPr>
          <w:rFonts w:ascii="Times New Roman" w:eastAsia="方正仿宋_GBK" w:cs="Times New Roman" w:hAnsi="Times New Roman"/>
          <w:color w:val="000000"/>
          <w:spacing w:val="-1"/>
          <w:sz w:val="32"/>
        </w:rPr>
        <w:t>0</w:t>
      </w:r>
      <w:r>
        <w:rPr>
          <w:rFonts w:ascii="方正仿宋_GBK" w:eastAsia="方正仿宋_GBK" w:hint="eastAsia"/>
          <w:color w:val="000000"/>
          <w:spacing w:val="-5"/>
          <w:sz w:val="32"/>
        </w:rPr>
        <w:t xml:space="preserve"> 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人</w:t>
      </w:r>
      <w:r>
        <w:rPr>
          <w:rFonts w:ascii="方正仿宋_GBK" w:eastAsia="方正仿宋_GBK" w:hint="eastAsia"/>
          <w:color w:val="000000"/>
          <w:spacing w:val="-55"/>
          <w:sz w:val="32"/>
          <w:lang w:eastAsia="zh-CN"/>
        </w:rPr>
        <w:t>。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12"/>
        <w:rPr>
          <w:rFonts w:ascii="方正仿宋_GBK" w:eastAsia="方正仿宋_GBK"/>
          <w:color w:val="000000"/>
          <w:spacing w:val="2"/>
          <w:sz w:val="32"/>
          <w:lang w:eastAsia="zh-CN"/>
        </w:rPr>
      </w:pP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开立有基本存款账户</w:t>
      </w:r>
      <w:r>
        <w:rPr>
          <w:rFonts w:ascii="方正仿宋_GBK" w:eastAsia="方正仿宋_GBK" w:hint="eastAsia"/>
          <w:color w:val="000000"/>
          <w:spacing w:val="-6"/>
          <w:sz w:val="32"/>
        </w:rPr>
        <w:t xml:space="preserve"> </w:t>
      </w:r>
      <w:r>
        <w:rPr>
          <w:rFonts w:ascii="Times New Roman" w:eastAsia="方正仿宋_GBK" w:cs="Times New Roman" w:hAnsi="Times New Roman"/>
          <w:color w:val="000000"/>
          <w:spacing w:val="-1"/>
          <w:sz w:val="32"/>
        </w:rPr>
        <w:t>1</w:t>
      </w:r>
      <w:r>
        <w:rPr>
          <w:rFonts w:ascii="方正仿宋_GBK" w:eastAsia="方正仿宋_GBK" w:hint="eastAsia"/>
          <w:color w:val="000000"/>
          <w:spacing w:val="-5"/>
          <w:sz w:val="32"/>
        </w:rPr>
        <w:t xml:space="preserve"> </w:t>
      </w:r>
      <w:r>
        <w:rPr>
          <w:rFonts w:ascii="方正仿宋_GBK" w:eastAsia="方正仿宋_GBK" w:hint="eastAsia"/>
          <w:color w:val="000000"/>
          <w:spacing w:val="-7"/>
          <w:sz w:val="32"/>
          <w:lang w:eastAsia="zh-CN"/>
        </w:rPr>
        <w:t>个</w:t>
      </w:r>
      <w:r>
        <w:rPr>
          <w:rFonts w:ascii="方正仿宋_GBK" w:eastAsia="方正仿宋_GBK" w:hint="eastAsia"/>
          <w:color w:val="000000"/>
          <w:spacing w:val="-55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无库存现</w:t>
      </w:r>
      <w:r>
        <w:rPr>
          <w:rFonts w:ascii="方正仿宋_GBK" w:eastAsia="方正仿宋_GBK" w:hint="eastAsia"/>
          <w:color w:val="000000"/>
          <w:spacing w:val="2"/>
          <w:sz w:val="32"/>
          <w:lang w:eastAsia="zh-CN"/>
        </w:rPr>
        <w:t>金</w:t>
      </w:r>
      <w:r>
        <w:rPr>
          <w:rFonts w:ascii="方正仿宋_GBK" w:eastAsia="方正仿宋_GBK" w:hint="eastAsia"/>
          <w:color w:val="000000"/>
          <w:sz w:val="32"/>
          <w:lang w:eastAsia="zh-CN"/>
        </w:rPr>
        <w:t>，无有价证券</w:t>
      </w:r>
      <w:r>
        <w:rPr>
          <w:rFonts w:ascii="方正仿宋_GBK" w:eastAsia="方正仿宋_GBK" w:hint="eastAsia"/>
          <w:color w:val="000000"/>
          <w:spacing w:val="2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无待清理往来款项</w:t>
      </w:r>
      <w:r>
        <w:rPr>
          <w:rFonts w:ascii="方正仿宋_GBK" w:eastAsia="方正仿宋_GBK" w:hint="eastAsia"/>
          <w:color w:val="000000"/>
          <w:spacing w:val="2"/>
          <w:sz w:val="32"/>
          <w:lang w:eastAsia="zh-CN"/>
        </w:rPr>
        <w:t>。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48"/>
        <w:rPr>
          <w:rFonts w:ascii="方正楷体_GBK" w:eastAsia="方正楷体_GBK"/>
          <w:b/>
          <w:color w:val="000000"/>
          <w:spacing w:val="4"/>
          <w:sz w:val="32"/>
          <w:szCs w:val="32"/>
          <w:lang w:eastAsia="zh-CN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szCs w:val="32"/>
          <w:lang w:eastAsia="zh-CN"/>
        </w:rPr>
        <w:t>（二）部门决算范围</w:t>
      </w:r>
      <w:r>
        <w:rPr>
          <w:rFonts w:ascii="方正楷体_GBK" w:eastAsia="方正楷体_GBK" w:hint="eastAsia"/>
          <w:b/>
          <w:color w:val="000000"/>
          <w:spacing w:val="4"/>
          <w:sz w:val="32"/>
          <w:szCs w:val="32"/>
          <w:lang w:eastAsia="zh-CN"/>
        </w:rPr>
        <w:t>。</w:t>
      </w:r>
    </w:p>
    <w:p>
      <w:pPr>
        <w:wordWrap w:val="0"/>
        <w:autoSpaceDE w:val="0"/>
        <w:autoSpaceDN w:val="0"/>
        <w:snapToGrid w:val="0"/>
        <w:spacing w:after="0" w:line="560" w:lineRule="exact"/>
        <w:ind w:firstLineChars="200" w:firstLine="644"/>
        <w:rPr>
          <w:rFonts w:ascii="方正仿宋_GBK" w:eastAsia="方正仿宋_GBK"/>
          <w:color w:val="000000"/>
          <w:spacing w:val="-7"/>
          <w:sz w:val="32"/>
          <w:lang w:eastAsia="zh-CN"/>
        </w:rPr>
      </w:pP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纳入重庆海关评审中心</w:t>
      </w:r>
      <w:r>
        <w:rPr>
          <w:rFonts w:ascii="方正仿宋_GBK" w:eastAsia="方正仿宋_GBK" w:hint="eastAsia"/>
          <w:color w:val="000000"/>
          <w:spacing w:val="79"/>
          <w:sz w:val="32"/>
        </w:rPr>
        <w:t xml:space="preserve"> </w:t>
      </w:r>
      <w:r>
        <w:rPr>
          <w:rFonts w:ascii="Times New Roman" w:eastAsia="方正仿宋_GBK" w:cs="Times New Roman" w:hAnsi="Times New Roman"/>
          <w:color w:val="000000"/>
          <w:sz w:val="32"/>
        </w:rPr>
        <w:t>2022</w:t>
      </w:r>
      <w:r>
        <w:rPr>
          <w:rFonts w:ascii="方正仿宋_GBK" w:eastAsia="方正仿宋_GBK" w:hint="eastAsia"/>
          <w:color w:val="000000"/>
          <w:spacing w:val="75"/>
          <w:sz w:val="32"/>
        </w:rPr>
        <w:t xml:space="preserve"> 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年部门决算编制范围的单位详细情况见下表：</w:t>
      </w:r>
    </w:p>
    <w:p>
      <w:pPr>
        <w:wordWrap w:val="0"/>
        <w:autoSpaceDE w:val="0"/>
        <w:autoSpaceDN w:val="0"/>
        <w:spacing w:before="363" w:after="0" w:line="14" w:lineRule="exact"/>
      </w:pPr>
    </w:p>
    <w:tbl>
      <w:tblPr>
        <w:jc w:val="left"/>
        <w:tblInd w:w="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6339"/>
      </w:tblGrid>
      <w:tr>
        <w:trPr>
          <w:trHeight w:hRule="exact" w:val="667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>
            <w:pPr>
              <w:wordWrap w:val="0"/>
              <w:autoSpaceDE w:val="0"/>
              <w:autoSpaceDN w:val="0"/>
              <w:spacing w:before="177" w:after="0" w:line="319" w:lineRule="exact"/>
              <w:ind w:left="766"/>
            </w:pPr>
            <w:r>
              <w:rPr>
                <w:rFonts w:ascii="FangSong" w:eastAsia="FangSong" w:hAnsi="FangSong"/>
                <w:b/>
                <w:color w:val="000000"/>
                <w:spacing w:val="2"/>
                <w:sz w:val="32"/>
                <w:lang w:eastAsia="zh-CN"/>
              </w:rPr>
              <w:t>序号</w:t>
            </w:r>
          </w:p>
        </w:tc>
        <w:tc>
          <w:tcPr>
            <w:tcW w:w="6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>
            <w:pPr>
              <w:wordWrap w:val="0"/>
              <w:autoSpaceDE w:val="0"/>
              <w:autoSpaceDN w:val="0"/>
              <w:spacing w:before="177" w:after="0" w:line="319" w:lineRule="exact"/>
              <w:ind w:left="2518"/>
            </w:pPr>
            <w:r>
              <w:rPr>
                <w:rFonts w:ascii="FangSong" w:eastAsia="FangSong" w:hAnsi="FangSong"/>
                <w:b/>
                <w:color w:val="000000"/>
                <w:spacing w:val="2"/>
                <w:sz w:val="32"/>
                <w:lang w:eastAsia="zh-CN"/>
              </w:rPr>
              <w:t>单位名称</w:t>
            </w:r>
          </w:p>
        </w:tc>
      </w:tr>
      <w:tr>
        <w:trPr>
          <w:trHeight w:hRule="exact" w:val="670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>
            <w:pPr>
              <w:wordWrap w:val="0"/>
              <w:autoSpaceDE w:val="0"/>
              <w:autoSpaceDN w:val="0"/>
              <w:spacing w:before="180" w:after="0" w:line="319" w:lineRule="exact"/>
              <w:ind w:left="1008"/>
              <w:rPr>
                <w:rFonts w:ascii="Times New Roman" w:cs="Times New Roman" w:hAnsi="Times New Roman"/>
              </w:rPr>
            </w:pPr>
            <w:r>
              <w:rPr>
                <w:rFonts w:ascii="Times New Roman" w:eastAsia="FangSong" w:cs="Times New Roman" w:hAnsi="Times New Roman"/>
                <w:color w:val="000000"/>
                <w:spacing w:val="-1"/>
                <w:sz w:val="32"/>
              </w:rPr>
              <w:t>1</w:t>
            </w:r>
          </w:p>
        </w:tc>
        <w:tc>
          <w:tcPr>
            <w:tcW w:w="6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>
            <w:pPr>
              <w:wordWrap w:val="0"/>
              <w:autoSpaceDE w:val="0"/>
              <w:autoSpaceDN w:val="0"/>
              <w:spacing w:before="180" w:after="0" w:line="319" w:lineRule="exact"/>
              <w:ind w:left="1879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  <w:color w:val="000000"/>
                <w:spacing w:val="1"/>
                <w:sz w:val="32"/>
                <w:lang w:eastAsia="zh-CN"/>
              </w:rPr>
              <w:t>重庆海关评审中心</w:t>
            </w:r>
          </w:p>
        </w:tc>
      </w:tr>
    </w:tbl>
    <w:p>
      <w:pPr>
        <w:wordWrap w:val="0"/>
        <w:autoSpaceDE w:val="0"/>
        <w:autoSpaceDN w:val="0"/>
        <w:spacing w:after="0" w:line="14" w:lineRule="exact"/>
      </w:pPr>
    </w:p>
    <w:p>
      <w:pPr>
        <w:spacing w:after="0"/>
        <w:sectPr>
          <w:pgSz w:w="11906" w:h="16841"/>
          <w:pgMar w:top="805" w:right="1440" w:bottom="1440" w:left="1440" w:header="720" w:footer="720" w:gutter="0"/>
          <w:docGrid w:linePitch="360" w:charSpace="0"/>
        </w:sectPr>
      </w:pPr>
    </w:p>
    <w:p>
      <w:pPr>
        <w:wordWrap w:val="0"/>
        <w:autoSpaceDE w:val="0"/>
        <w:autoSpaceDN w:val="0"/>
        <w:spacing w:after="313" w:line="14" w:lineRule="exact"/>
      </w:pPr>
    </w:p>
    <w:p>
      <w:pPr>
        <w:wordWrap w:val="0"/>
        <w:autoSpaceDE w:val="0"/>
        <w:autoSpaceDN w:val="0"/>
        <w:spacing w:before="654" w:after="473" w:line="319" w:lineRule="exact"/>
        <w:ind w:left="62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32"/>
          <w:lang w:eastAsia="zh-CN"/>
        </w:rPr>
        <w:t>二</w:t>
      </w:r>
      <w:r>
        <w:rPr>
          <w:rFonts w:ascii="方正黑体_GBK" w:eastAsia="方正黑体_GBK" w:hint="eastAsia"/>
          <w:color w:val="000000"/>
          <w:spacing w:val="3"/>
          <w:sz w:val="32"/>
          <w:lang w:eastAsia="zh-CN"/>
        </w:rPr>
        <w:t>、</w:t>
      </w:r>
      <w:r>
        <w:rPr>
          <w:rFonts w:ascii="Times New Roman" w:eastAsia="方正黑体_GBK" w:cs="Times New Roman" w:hAnsi="Times New Roman"/>
          <w:color w:val="000000"/>
          <w:spacing w:val="-1"/>
          <w:sz w:val="32"/>
        </w:rPr>
        <w:t>2022</w:t>
      </w:r>
      <w:r>
        <w:rPr>
          <w:rFonts w:ascii="方正黑体_GBK" w:eastAsia="方正黑体_GBK" w:hint="eastAsia"/>
          <w:color w:val="000000"/>
          <w:sz w:val="32"/>
          <w:lang w:eastAsia="zh-CN"/>
        </w:rPr>
        <w:t>年度部门决算表</w:t>
      </w:r>
    </w:p>
    <w:p>
      <w:pPr>
        <w:wordWrap w:val="0"/>
        <w:autoSpaceDE w:val="0"/>
        <w:autoSpaceDN w:val="0"/>
        <w:spacing w:before="945" w:after="112" w:line="319" w:lineRule="exact"/>
        <w:ind w:left="5323"/>
      </w:pPr>
      <w:r>
        <w:rPr>
          <w:rFonts w:ascii="KaiTi" w:eastAsia="KaiTi" w:hAnsi="KaiTi"/>
          <w:b/>
          <w:color w:val="000000"/>
          <w:spacing w:val="2"/>
          <w:sz w:val="32"/>
          <w:lang w:eastAsia="zh-CN"/>
        </w:rPr>
        <w:t>（一）收入支出决算总表</w:t>
      </w:r>
    </w:p>
    <w:p>
      <w:pPr>
        <w:wordWrap w:val="0"/>
        <w:autoSpaceDE w:val="0"/>
        <w:autoSpaceDN w:val="0"/>
        <w:spacing w:before="225" w:after="72" w:line="199" w:lineRule="exact"/>
        <w:ind w:left="13125"/>
        <w:rPr>
          <w:rFonts w:ascii="SimSun" w:eastAsia="SimSun"/>
          <w:color w:val="000000"/>
          <w:sz w:val="20"/>
          <w:lang w:eastAsia="zh-CN"/>
        </w:rPr>
      </w:pPr>
      <w:r>
        <w:rPr>
          <w:rFonts w:ascii="SimSun" w:eastAsia="SimSun"/>
          <w:color w:val="000000"/>
          <w:sz w:val="20"/>
          <w:lang w:eastAsia="zh-CN"/>
        </w:rPr>
        <w:t>公开</w:t>
      </w:r>
      <w:r>
        <w:rPr>
          <w:rFonts w:ascii="Times New Roman" w:eastAsia="SimSun" w:hAnsi="Times New Roman"/>
          <w:color w:val="000000"/>
          <w:spacing w:val="1"/>
          <w:sz w:val="20"/>
        </w:rPr>
        <w:t xml:space="preserve"> </w:t>
      </w:r>
      <w:r>
        <w:rPr>
          <w:rFonts w:ascii="Times New Roman" w:eastAsia="SimSun" w:cs="Times New Roman" w:hAnsi="Times New Roman"/>
          <w:color w:val="000000"/>
          <w:spacing w:val="1"/>
          <w:sz w:val="20"/>
        </w:rPr>
        <w:t>01</w:t>
      </w:r>
      <w:r>
        <w:rPr>
          <w:rFonts w:ascii="Times New Roman" w:eastAsia="SimSun" w:hAnsi="Times New Roman"/>
          <w:color w:val="000000"/>
          <w:spacing w:val="2"/>
          <w:sz w:val="20"/>
        </w:rPr>
        <w:t xml:space="preserve"> </w:t>
      </w:r>
      <w:r>
        <w:rPr>
          <w:rFonts w:ascii="SimSun" w:eastAsia="SimSun"/>
          <w:color w:val="000000"/>
          <w:sz w:val="20"/>
          <w:lang w:eastAsia="zh-CN"/>
        </w:rPr>
        <w:t>表</w:t>
      </w:r>
    </w:p>
    <w:p>
      <w:pPr>
        <w:wordWrap w:val="0"/>
        <w:autoSpaceDE w:val="0"/>
        <w:autoSpaceDN w:val="0"/>
        <w:spacing w:before="225" w:after="72" w:line="199" w:lineRule="exact"/>
        <w:jc w:val="righ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部门：中国质量认证中心重庆评审中心</w:t>
      </w:r>
      <w:r>
        <w:rPr>
          <w:rFonts w:ascii="方正仿宋_GBK" w:eastAsia="方正仿宋_GBK"/>
        </w:rPr>
        <w:t xml:space="preserve">                                                                                                                                                                    金额单位：万元</w:t>
      </w:r>
    </w:p>
    <w:p>
      <w:pPr>
        <w:wordWrap w:val="0"/>
        <w:autoSpaceDE w:val="0"/>
        <w:autoSpaceDN w:val="0"/>
        <w:spacing w:before="59" w:after="0" w:line="14" w:lineRule="exact"/>
      </w:pPr>
    </w:p>
    <w:tbl>
      <w:tblPr>
        <w:jc w:val="left"/>
        <w:tblW w:w="14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0"/>
        <w:gridCol w:w="775"/>
        <w:gridCol w:w="2325"/>
        <w:gridCol w:w="4050"/>
        <w:gridCol w:w="885"/>
        <w:gridCol w:w="2325"/>
      </w:tblGrid>
      <w:tr>
        <w:trPr>
          <w:trHeight w:val="284"/>
        </w:trPr>
        <w:tc>
          <w:tcPr>
            <w:tcW w:w="7260" w:type="dxa"/>
            <w:gridSpan w:val="3"/>
            <w:noWrap/>
          </w:tcPr>
          <w:p>
            <w:pPr>
              <w:pStyle w:val="139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收入</w:t>
            </w:r>
          </w:p>
        </w:tc>
        <w:tc>
          <w:tcPr>
            <w:tcW w:w="7260" w:type="dxa"/>
            <w:gridSpan w:val="3"/>
            <w:noWrap/>
          </w:tcPr>
          <w:p>
            <w:pPr>
              <w:pStyle w:val="140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支出</w:t>
            </w: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41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项目</w:t>
            </w:r>
          </w:p>
        </w:tc>
        <w:tc>
          <w:tcPr>
            <w:tcW w:w="775" w:type="dxa"/>
          </w:tcPr>
          <w:p>
            <w:pPr>
              <w:pStyle w:val="142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行次</w:t>
            </w:r>
          </w:p>
        </w:tc>
        <w:tc>
          <w:tcPr>
            <w:tcW w:w="2325" w:type="dxa"/>
          </w:tcPr>
          <w:p>
            <w:pPr>
              <w:pStyle w:val="143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金额</w:t>
            </w:r>
          </w:p>
        </w:tc>
        <w:tc>
          <w:tcPr>
            <w:tcW w:w="4050" w:type="dxa"/>
          </w:tcPr>
          <w:p>
            <w:pPr>
              <w:pStyle w:val="144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项目</w:t>
            </w:r>
          </w:p>
        </w:tc>
        <w:tc>
          <w:tcPr>
            <w:tcW w:w="885" w:type="dxa"/>
          </w:tcPr>
          <w:p>
            <w:pPr>
              <w:pStyle w:val="145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行次</w:t>
            </w:r>
          </w:p>
        </w:tc>
        <w:tc>
          <w:tcPr>
            <w:tcW w:w="2325" w:type="dxa"/>
          </w:tcPr>
          <w:p>
            <w:pPr>
              <w:pStyle w:val="146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金额</w:t>
            </w: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47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栏次</w:t>
            </w:r>
          </w:p>
        </w:tc>
        <w:tc>
          <w:tcPr>
            <w:tcW w:w="775" w:type="dxa"/>
          </w:tcPr>
          <w:p>
            <w:pPr>
              <w:spacing w:after="0" w:line="240" w:lineRule="auto"/>
              <w:jc w:val="center"/>
              <w:rPr>
                <w:rFonts w:ascii="方正仿宋_GBK" w:eastAsia="方正仿宋_GBK"/>
              </w:rPr>
            </w:pPr>
          </w:p>
        </w:tc>
        <w:tc>
          <w:tcPr>
            <w:tcW w:w="2325" w:type="dxa"/>
          </w:tcPr>
          <w:p>
            <w:pPr>
              <w:pStyle w:val="148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1</w:t>
            </w:r>
          </w:p>
        </w:tc>
        <w:tc>
          <w:tcPr>
            <w:tcW w:w="4050" w:type="dxa"/>
          </w:tcPr>
          <w:p>
            <w:pPr>
              <w:pStyle w:val="149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栏次</w:t>
            </w:r>
          </w:p>
        </w:tc>
        <w:tc>
          <w:tcPr>
            <w:tcW w:w="885" w:type="dxa"/>
          </w:tcPr>
          <w:p>
            <w:pPr>
              <w:spacing w:after="0" w:line="240" w:lineRule="auto"/>
              <w:jc w:val="center"/>
              <w:rPr>
                <w:rFonts w:ascii="方正仿宋_GBK" w:eastAsia="方正仿宋_GBK"/>
              </w:rPr>
            </w:pPr>
          </w:p>
        </w:tc>
        <w:tc>
          <w:tcPr>
            <w:tcW w:w="2325" w:type="dxa"/>
          </w:tcPr>
          <w:p>
            <w:pPr>
              <w:pStyle w:val="150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</w:t>
            </w: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51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一、一般公共预算财政拨款收入</w:t>
            </w:r>
          </w:p>
        </w:tc>
        <w:tc>
          <w:tcPr>
            <w:tcW w:w="775" w:type="dxa"/>
          </w:tcPr>
          <w:p>
            <w:pPr>
              <w:pStyle w:val="152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1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5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一、一般公共服务支出</w:t>
            </w:r>
          </w:p>
        </w:tc>
        <w:tc>
          <w:tcPr>
            <w:tcW w:w="885" w:type="dxa"/>
          </w:tcPr>
          <w:p>
            <w:pPr>
              <w:pStyle w:val="15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32</w:t>
            </w:r>
          </w:p>
        </w:tc>
        <w:tc>
          <w:tcPr>
            <w:tcW w:w="2325" w:type="dxa"/>
          </w:tcPr>
          <w:p>
            <w:pPr>
              <w:pStyle w:val="15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5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二、政府性基金预算财政拨款收入</w:t>
            </w:r>
          </w:p>
        </w:tc>
        <w:tc>
          <w:tcPr>
            <w:tcW w:w="775" w:type="dxa"/>
          </w:tcPr>
          <w:p>
            <w:pPr>
              <w:pStyle w:val="157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5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二、外交支出</w:t>
            </w:r>
          </w:p>
        </w:tc>
        <w:tc>
          <w:tcPr>
            <w:tcW w:w="885" w:type="dxa"/>
          </w:tcPr>
          <w:p>
            <w:pPr>
              <w:pStyle w:val="159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33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285"/>
        </w:trPr>
        <w:tc>
          <w:tcPr>
            <w:tcW w:w="4160" w:type="dxa"/>
          </w:tcPr>
          <w:p>
            <w:pPr>
              <w:pStyle w:val="16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三、国有资本经营预算财政拨款收入</w:t>
            </w:r>
          </w:p>
        </w:tc>
        <w:tc>
          <w:tcPr>
            <w:tcW w:w="775" w:type="dxa"/>
          </w:tcPr>
          <w:p>
            <w:pPr>
              <w:pStyle w:val="161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3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6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三、国防支出</w:t>
            </w:r>
          </w:p>
        </w:tc>
        <w:tc>
          <w:tcPr>
            <w:tcW w:w="885" w:type="dxa"/>
          </w:tcPr>
          <w:p>
            <w:pPr>
              <w:pStyle w:val="16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34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6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四、上级补助收入</w:t>
            </w:r>
          </w:p>
        </w:tc>
        <w:tc>
          <w:tcPr>
            <w:tcW w:w="775" w:type="dxa"/>
          </w:tcPr>
          <w:p>
            <w:pPr>
              <w:pStyle w:val="165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4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6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四、公共安全支出</w:t>
            </w:r>
          </w:p>
        </w:tc>
        <w:tc>
          <w:tcPr>
            <w:tcW w:w="885" w:type="dxa"/>
          </w:tcPr>
          <w:p>
            <w:pPr>
              <w:pStyle w:val="16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35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6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五、事业收入</w:t>
            </w:r>
          </w:p>
        </w:tc>
        <w:tc>
          <w:tcPr>
            <w:tcW w:w="775" w:type="dxa"/>
          </w:tcPr>
          <w:p>
            <w:pPr>
              <w:pStyle w:val="169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5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7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五、教育支出</w:t>
            </w:r>
          </w:p>
        </w:tc>
        <w:tc>
          <w:tcPr>
            <w:tcW w:w="885" w:type="dxa"/>
          </w:tcPr>
          <w:p>
            <w:pPr>
              <w:pStyle w:val="171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36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7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六、经营收入</w:t>
            </w:r>
          </w:p>
        </w:tc>
        <w:tc>
          <w:tcPr>
            <w:tcW w:w="775" w:type="dxa"/>
          </w:tcPr>
          <w:p>
            <w:pPr>
              <w:pStyle w:val="173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6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7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六、科学技术支出</w:t>
            </w:r>
          </w:p>
        </w:tc>
        <w:tc>
          <w:tcPr>
            <w:tcW w:w="885" w:type="dxa"/>
          </w:tcPr>
          <w:p>
            <w:pPr>
              <w:pStyle w:val="17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37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7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七、附属单位上缴收入</w:t>
            </w:r>
          </w:p>
        </w:tc>
        <w:tc>
          <w:tcPr>
            <w:tcW w:w="775" w:type="dxa"/>
          </w:tcPr>
          <w:p>
            <w:pPr>
              <w:pStyle w:val="177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7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7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七、文化旅游体育与传媒支出</w:t>
            </w:r>
          </w:p>
        </w:tc>
        <w:tc>
          <w:tcPr>
            <w:tcW w:w="885" w:type="dxa"/>
          </w:tcPr>
          <w:p>
            <w:pPr>
              <w:pStyle w:val="179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38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8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八、其他收入</w:t>
            </w:r>
          </w:p>
        </w:tc>
        <w:tc>
          <w:tcPr>
            <w:tcW w:w="775" w:type="dxa"/>
          </w:tcPr>
          <w:p>
            <w:pPr>
              <w:pStyle w:val="181"/>
              <w:spacing w:after="0" w:line="240" w:lineRule="auto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8</w:t>
            </w:r>
          </w:p>
        </w:tc>
        <w:tc>
          <w:tcPr>
            <w:tcW w:w="2325" w:type="dxa"/>
          </w:tcPr>
          <w:p>
            <w:pPr>
              <w:pStyle w:val="18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4050" w:type="dxa"/>
          </w:tcPr>
          <w:p>
            <w:pPr>
              <w:pStyle w:val="18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八、社会保障和就业支出</w:t>
            </w:r>
          </w:p>
        </w:tc>
        <w:tc>
          <w:tcPr>
            <w:tcW w:w="885" w:type="dxa"/>
          </w:tcPr>
          <w:p>
            <w:pPr>
              <w:pStyle w:val="18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39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85"/>
              <w:spacing w:after="0" w:line="240" w:lineRule="auto"/>
              <w:jc w:val="center"/>
              <w:rPr>
                <w:rFonts w:ascii="方正仿宋_GBK" w:eastAsia="方正仿宋_GBK"/>
                <w:b/>
              </w:rPr>
            </w:pPr>
            <w:r>
              <w:rPr>
                <w:rFonts w:ascii="方正仿宋_GBK" w:eastAsia="方正仿宋_GBK" w:hint="eastAsia"/>
                <w:b/>
              </w:rPr>
              <w:t>本年收入合计</w:t>
            </w:r>
          </w:p>
        </w:tc>
        <w:tc>
          <w:tcPr>
            <w:tcW w:w="775" w:type="dxa"/>
          </w:tcPr>
          <w:p>
            <w:pPr>
              <w:pStyle w:val="18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27</w:t>
            </w:r>
          </w:p>
        </w:tc>
        <w:tc>
          <w:tcPr>
            <w:tcW w:w="2325" w:type="dxa"/>
          </w:tcPr>
          <w:p>
            <w:pPr>
              <w:pStyle w:val="18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4050" w:type="dxa"/>
          </w:tcPr>
          <w:p>
            <w:pPr>
              <w:pStyle w:val="188"/>
              <w:spacing w:after="0" w:line="240" w:lineRule="auto"/>
              <w:jc w:val="center"/>
              <w:rPr>
                <w:rFonts w:ascii="方正仿宋_GBK" w:eastAsia="方正仿宋_GBK"/>
                <w:b/>
              </w:rPr>
            </w:pPr>
            <w:r>
              <w:rPr>
                <w:rFonts w:ascii="方正仿宋_GBK" w:eastAsia="方正仿宋_GBK" w:hint="eastAsia"/>
                <w:b/>
              </w:rPr>
              <w:t>本年支出合计</w:t>
            </w:r>
          </w:p>
        </w:tc>
        <w:tc>
          <w:tcPr>
            <w:tcW w:w="885" w:type="dxa"/>
          </w:tcPr>
          <w:p>
            <w:pPr>
              <w:pStyle w:val="189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58</w:t>
            </w:r>
          </w:p>
        </w:tc>
        <w:tc>
          <w:tcPr>
            <w:tcW w:w="2325" w:type="dxa"/>
          </w:tcPr>
          <w:p>
            <w:pPr>
              <w:pStyle w:val="19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91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使用非财政拨款结余</w:t>
            </w:r>
          </w:p>
        </w:tc>
        <w:tc>
          <w:tcPr>
            <w:tcW w:w="775" w:type="dxa"/>
          </w:tcPr>
          <w:p>
            <w:pPr>
              <w:pStyle w:val="19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28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9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结余分配</w:t>
            </w:r>
          </w:p>
        </w:tc>
        <w:tc>
          <w:tcPr>
            <w:tcW w:w="885" w:type="dxa"/>
          </w:tcPr>
          <w:p>
            <w:pPr>
              <w:pStyle w:val="19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59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9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年初结转和结余</w:t>
            </w:r>
          </w:p>
        </w:tc>
        <w:tc>
          <w:tcPr>
            <w:tcW w:w="775" w:type="dxa"/>
          </w:tcPr>
          <w:p>
            <w:pPr>
              <w:pStyle w:val="19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29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</w:tcPr>
          <w:p>
            <w:pPr>
              <w:pStyle w:val="19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年末结转和结余</w:t>
            </w:r>
          </w:p>
        </w:tc>
        <w:tc>
          <w:tcPr>
            <w:tcW w:w="885" w:type="dxa"/>
          </w:tcPr>
          <w:p>
            <w:pPr>
              <w:pStyle w:val="19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60</w:t>
            </w:r>
          </w:p>
        </w:tc>
        <w:tc>
          <w:tcPr>
            <w:tcW w:w="2325" w:type="dxa"/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  <w:tr>
        <w:trPr>
          <w:trHeight w:val="314"/>
        </w:trPr>
        <w:tc>
          <w:tcPr>
            <w:tcW w:w="4160" w:type="dxa"/>
          </w:tcPr>
          <w:p>
            <w:pPr>
              <w:pStyle w:val="199"/>
              <w:spacing w:after="0" w:line="240" w:lineRule="auto"/>
              <w:jc w:val="center"/>
              <w:rPr>
                <w:rFonts w:ascii="方正仿宋_GBK" w:eastAsia="方正仿宋_GBK"/>
                <w:b/>
              </w:rPr>
            </w:pPr>
            <w:r>
              <w:rPr>
                <w:rFonts w:ascii="方正仿宋_GBK" w:eastAsia="方正仿宋_GBK" w:hint="eastAsia"/>
                <w:b/>
              </w:rPr>
              <w:t>总计</w:t>
            </w:r>
          </w:p>
        </w:tc>
        <w:tc>
          <w:tcPr>
            <w:tcW w:w="775" w:type="dxa"/>
          </w:tcPr>
          <w:p>
            <w:pPr>
              <w:pStyle w:val="20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31</w:t>
            </w:r>
          </w:p>
        </w:tc>
        <w:tc>
          <w:tcPr>
            <w:tcW w:w="2325" w:type="dxa"/>
          </w:tcPr>
          <w:p>
            <w:pPr>
              <w:pStyle w:val="201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4050" w:type="dxa"/>
          </w:tcPr>
          <w:p>
            <w:pPr>
              <w:pStyle w:val="202"/>
              <w:spacing w:after="0" w:line="240" w:lineRule="auto"/>
              <w:jc w:val="center"/>
              <w:rPr>
                <w:rFonts w:ascii="方正仿宋_GBK" w:eastAsia="方正仿宋_GBK"/>
                <w:b/>
              </w:rPr>
            </w:pPr>
            <w:r>
              <w:rPr>
                <w:rFonts w:ascii="方正仿宋_GBK" w:eastAsia="方正仿宋_GBK" w:hint="eastAsia"/>
                <w:b/>
              </w:rPr>
              <w:t>总计</w:t>
            </w:r>
          </w:p>
        </w:tc>
        <w:tc>
          <w:tcPr>
            <w:tcW w:w="885" w:type="dxa"/>
          </w:tcPr>
          <w:p>
            <w:pPr>
              <w:pStyle w:val="20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62</w:t>
            </w:r>
          </w:p>
        </w:tc>
        <w:tc>
          <w:tcPr>
            <w:tcW w:w="2325" w:type="dxa"/>
          </w:tcPr>
          <w:p>
            <w:pPr>
              <w:pStyle w:val="20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  <w:b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  <w:b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方正仿宋_GBK" w:eastAsia="方正仿宋_GBK"/>
              </w:rPr>
            </w:pPr>
          </w:p>
        </w:tc>
      </w:tr>
    </w:tbl>
    <w:p>
      <w:pPr>
        <w:wordWrap w:val="0"/>
        <w:autoSpaceDE w:val="0"/>
        <w:autoSpaceDN w:val="0"/>
        <w:spacing w:before="64" w:after="0" w:line="221" w:lineRule="exact"/>
        <w:rPr>
          <w:rFonts w:ascii="SimSun" w:eastAsia="SimSun"/>
          <w:color w:val="000000"/>
          <w:lang w:eastAsia="zh-CN"/>
        </w:rPr>
      </w:pPr>
    </w:p>
    <w:p>
      <w:pPr>
        <w:wordWrap w:val="0"/>
        <w:autoSpaceDE w:val="0"/>
        <w:autoSpaceDN w:val="0"/>
        <w:spacing w:before="64" w:after="0" w:line="221" w:lineRule="exact"/>
      </w:pPr>
      <w:r>
        <w:rPr>
          <w:rFonts w:ascii="SimSun" w:eastAsia="SimSun"/>
          <w:color w:val="000000"/>
          <w:lang w:eastAsia="zh-CN"/>
        </w:rPr>
        <w:t>注：</w:t>
      </w:r>
      <w:r>
        <w:rPr>
          <w:rFonts w:ascii="SimSun" w:eastAsia="SimSun"/>
          <w:color w:val="000000"/>
          <w:spacing w:val="-1"/>
          <w:lang w:eastAsia="zh-CN"/>
        </w:rPr>
        <w:t>本表反映部门本年度的总收支和年末结转结余情况</w:t>
      </w:r>
      <w:r>
        <w:rPr>
          <w:rFonts w:ascii="SimSun" w:eastAsia="SimSun"/>
          <w:color w:val="000000"/>
          <w:spacing w:val="-2"/>
          <w:lang w:eastAsia="zh-CN"/>
        </w:rPr>
        <w:t>。</w:t>
      </w:r>
    </w:p>
    <w:p>
      <w:pPr>
        <w:pStyle w:val="538"/>
        <w:wordWrap w:val="0"/>
        <w:autoSpaceDE w:val="0"/>
        <w:autoSpaceDN w:val="0"/>
        <w:spacing w:before="662" w:after="112" w:line="319" w:lineRule="exact"/>
        <w:ind w:left="5851"/>
      </w:pPr>
      <w:r>
        <w:br w:type="page"/>
      </w:r>
      <w:r>
        <w:rPr>
          <w:rFonts w:ascii="KaiTi" w:eastAsia="KaiTi" w:hAnsi="KaiTi"/>
          <w:b/>
          <w:color w:val="000000"/>
          <w:spacing w:val="2"/>
          <w:sz w:val="32"/>
          <w:lang w:eastAsia="zh-CN"/>
        </w:rPr>
        <w:t>（二）收入决算表</w:t>
      </w:r>
    </w:p>
    <w:p>
      <w:pPr>
        <w:pStyle w:val="538"/>
        <w:wordWrap w:val="0"/>
        <w:autoSpaceDE w:val="0"/>
        <w:autoSpaceDN w:val="0"/>
        <w:spacing w:before="225" w:after="124" w:line="199" w:lineRule="exact"/>
        <w:ind w:left="13218"/>
        <w:rPr>
          <w:rFonts w:ascii="SimSun" w:eastAsia="SimSun"/>
          <w:color w:val="000000"/>
          <w:sz w:val="20"/>
          <w:lang w:eastAsia="zh-CN"/>
        </w:rPr>
      </w:pPr>
      <w:r>
        <w:rPr>
          <w:rFonts w:ascii="SimSun" w:eastAsia="SimSun"/>
          <w:color w:val="000000"/>
          <w:sz w:val="20"/>
          <w:lang w:eastAsia="zh-CN"/>
        </w:rPr>
        <w:t>公开</w:t>
      </w:r>
      <w:r>
        <w:rPr>
          <w:rFonts w:ascii="Times New Roman" w:eastAsia="SimSun" w:hAnsi="Times New Roman"/>
          <w:color w:val="000000"/>
          <w:spacing w:val="1"/>
          <w:sz w:val="20"/>
        </w:rPr>
        <w:t xml:space="preserve"> </w:t>
      </w:r>
      <w:r>
        <w:rPr>
          <w:rFonts w:ascii="Times New Roman" w:eastAsia="SimSun" w:cs="Times New Roman" w:hAnsi="Times New Roman"/>
          <w:color w:val="000000"/>
          <w:spacing w:val="1"/>
          <w:sz w:val="20"/>
        </w:rPr>
        <w:t>02</w:t>
      </w:r>
      <w:r>
        <w:rPr>
          <w:rFonts w:ascii="Times New Roman" w:eastAsia="SimSun" w:hAnsi="Times New Roman"/>
          <w:color w:val="000000"/>
          <w:spacing w:val="2"/>
          <w:sz w:val="20"/>
        </w:rPr>
        <w:t xml:space="preserve"> </w:t>
      </w:r>
      <w:r>
        <w:rPr>
          <w:rFonts w:ascii="SimSun" w:eastAsia="SimSun"/>
          <w:color w:val="000000"/>
          <w:sz w:val="20"/>
          <w:lang w:eastAsia="zh-CN"/>
        </w:rPr>
        <w:t>表</w:t>
      </w:r>
    </w:p>
    <w:p>
      <w:pPr>
        <w:pStyle w:val="539"/>
        <w:wordWrap w:val="0"/>
        <w:autoSpaceDE w:val="0"/>
        <w:autoSpaceDN w:val="0"/>
        <w:spacing w:before="225" w:after="72" w:line="199" w:lineRule="exact"/>
        <w:jc w:val="right"/>
        <w:rPr>
          <w:rFonts w:ascii="KaiTi" w:eastAsia="KaiTi" w:hAnsi="KaiTi"/>
          <w:b/>
          <w:color w:val="000000"/>
          <w:spacing w:val="2"/>
          <w:sz w:val="32"/>
          <w:lang w:eastAsia="zh-CN"/>
        </w:rPr>
      </w:pPr>
      <w:r>
        <w:rPr>
          <w:rFonts w:ascii="方正仿宋_GBK" w:eastAsia="方正仿宋_GBK" w:hint="eastAsia"/>
        </w:rPr>
        <w:t>部门：中国质量认证中心重庆评审中心</w:t>
      </w:r>
      <w:r>
        <w:rPr>
          <w:rFonts w:ascii="方正仿宋_GBK" w:eastAsia="方正仿宋_GBK"/>
        </w:rPr>
        <w:t xml:space="preserve">                                                                                                                                                                    金额单位：万元</w:t>
      </w:r>
    </w:p>
    <w:tbl>
      <w:tblPr>
        <w:tblpPr w:leftFromText="180" w:rightFromText="180" w:vertAnchor="text" w:horzAnchor="page" w:tblpX="1249" w:tblpY="167"/>
        <w:tblOverlap w:val="never"/>
        <w:tblW w:w="14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588"/>
        <w:gridCol w:w="588"/>
        <w:gridCol w:w="2085"/>
        <w:gridCol w:w="1524"/>
        <w:gridCol w:w="1524"/>
        <w:gridCol w:w="1524"/>
        <w:gridCol w:w="1524"/>
        <w:gridCol w:w="1524"/>
        <w:gridCol w:w="1524"/>
        <w:gridCol w:w="1524"/>
      </w:tblGrid>
      <w:tr>
        <w:trPr>
          <w:trHeight w:val="583"/>
        </w:trPr>
        <w:tc>
          <w:tcPr>
            <w:tcW w:w="1764" w:type="dxa"/>
            <w:gridSpan w:val="3"/>
            <w:noWrap/>
          </w:tcPr>
          <w:p>
            <w:pPr>
              <w:pStyle w:val="65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科目代码</w:t>
            </w:r>
          </w:p>
        </w:tc>
        <w:tc>
          <w:tcPr>
            <w:tcW w:w="2085" w:type="dxa"/>
            <w:noWrap/>
          </w:tcPr>
          <w:p>
            <w:pPr>
              <w:pStyle w:val="65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科目名称</w:t>
            </w:r>
          </w:p>
        </w:tc>
        <w:tc>
          <w:tcPr>
            <w:tcW w:w="1524" w:type="dxa"/>
            <w:noWrap/>
          </w:tcPr>
          <w:p>
            <w:pPr>
              <w:pStyle w:val="651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本年收入合计</w:t>
            </w:r>
          </w:p>
        </w:tc>
        <w:tc>
          <w:tcPr>
            <w:tcW w:w="1524" w:type="dxa"/>
            <w:noWrap/>
          </w:tcPr>
          <w:p>
            <w:pPr>
              <w:pStyle w:val="650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财政拨款收入</w:t>
            </w:r>
          </w:p>
        </w:tc>
        <w:tc>
          <w:tcPr>
            <w:tcW w:w="1524" w:type="dxa"/>
            <w:noWrap/>
          </w:tcPr>
          <w:p>
            <w:pPr>
              <w:pStyle w:val="649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上级补助收入</w:t>
            </w:r>
          </w:p>
        </w:tc>
        <w:tc>
          <w:tcPr>
            <w:tcW w:w="1524" w:type="dxa"/>
            <w:noWrap/>
          </w:tcPr>
          <w:p>
            <w:pPr>
              <w:pStyle w:val="64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事业收入</w:t>
            </w:r>
          </w:p>
        </w:tc>
        <w:tc>
          <w:tcPr>
            <w:tcW w:w="1524" w:type="dxa"/>
            <w:noWrap/>
          </w:tcPr>
          <w:p>
            <w:pPr>
              <w:pStyle w:val="64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经营收入</w:t>
            </w:r>
          </w:p>
        </w:tc>
        <w:tc>
          <w:tcPr>
            <w:tcW w:w="1524" w:type="dxa"/>
            <w:noWrap/>
          </w:tcPr>
          <w:p>
            <w:pPr>
              <w:pStyle w:val="64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附属单位上缴收入</w:t>
            </w:r>
          </w:p>
        </w:tc>
        <w:tc>
          <w:tcPr>
            <w:tcW w:w="1524" w:type="dxa"/>
            <w:noWrap/>
          </w:tcPr>
          <w:p>
            <w:pPr>
              <w:pStyle w:val="64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其他收入</w:t>
            </w:r>
          </w:p>
        </w:tc>
      </w:tr>
      <w:tr>
        <w:trPr>
          <w:trHeight w:val="314"/>
        </w:trPr>
        <w:tc>
          <w:tcPr>
            <w:tcW w:w="588" w:type="dxa"/>
            <w:vMerge w:val="restart"/>
            <w:noWrap/>
          </w:tcPr>
          <w:p>
            <w:pPr>
              <w:pStyle w:val="64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类</w:t>
            </w:r>
          </w:p>
        </w:tc>
        <w:tc>
          <w:tcPr>
            <w:tcW w:w="588" w:type="dxa"/>
            <w:vMerge w:val="restart"/>
            <w:noWrap/>
          </w:tcPr>
          <w:p>
            <w:pPr>
              <w:pStyle w:val="64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款</w:t>
            </w:r>
          </w:p>
        </w:tc>
        <w:tc>
          <w:tcPr>
            <w:tcW w:w="588" w:type="dxa"/>
            <w:vMerge w:val="restart"/>
            <w:noWrap/>
          </w:tcPr>
          <w:p>
            <w:pPr>
              <w:pStyle w:val="64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项</w:t>
            </w:r>
          </w:p>
        </w:tc>
        <w:tc>
          <w:tcPr>
            <w:tcW w:w="2085" w:type="dxa"/>
          </w:tcPr>
          <w:p>
            <w:pPr>
              <w:pStyle w:val="641"/>
              <w:spacing w:after="0" w:line="240" w:lineRule="auto"/>
              <w:jc w:val="center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栏次</w:t>
            </w:r>
          </w:p>
        </w:tc>
        <w:tc>
          <w:tcPr>
            <w:tcW w:w="1524" w:type="dxa"/>
          </w:tcPr>
          <w:p>
            <w:pPr>
              <w:pStyle w:val="640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1</w:t>
            </w:r>
          </w:p>
        </w:tc>
        <w:tc>
          <w:tcPr>
            <w:tcW w:w="1524" w:type="dxa"/>
          </w:tcPr>
          <w:p>
            <w:pPr>
              <w:pStyle w:val="639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</w:t>
            </w:r>
          </w:p>
        </w:tc>
        <w:tc>
          <w:tcPr>
            <w:tcW w:w="1524" w:type="dxa"/>
          </w:tcPr>
          <w:p>
            <w:pPr>
              <w:pStyle w:val="638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3</w:t>
            </w:r>
          </w:p>
        </w:tc>
        <w:tc>
          <w:tcPr>
            <w:tcW w:w="1524" w:type="dxa"/>
          </w:tcPr>
          <w:p>
            <w:pPr>
              <w:pStyle w:val="637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4</w:t>
            </w:r>
          </w:p>
        </w:tc>
        <w:tc>
          <w:tcPr>
            <w:tcW w:w="1524" w:type="dxa"/>
          </w:tcPr>
          <w:p>
            <w:pPr>
              <w:pStyle w:val="636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5</w:t>
            </w:r>
          </w:p>
        </w:tc>
        <w:tc>
          <w:tcPr>
            <w:tcW w:w="1524" w:type="dxa"/>
          </w:tcPr>
          <w:p>
            <w:pPr>
              <w:pStyle w:val="635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6</w:t>
            </w:r>
          </w:p>
        </w:tc>
        <w:tc>
          <w:tcPr>
            <w:tcW w:w="1524" w:type="dxa"/>
          </w:tcPr>
          <w:p>
            <w:pPr>
              <w:pStyle w:val="634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7</w:t>
            </w:r>
          </w:p>
        </w:tc>
      </w:tr>
      <w:tr>
        <w:trPr>
          <w:trHeight w:val="314"/>
        </w:trPr>
        <w:tc>
          <w:tcPr>
            <w:tcW w:w="588" w:type="dxa"/>
            <w:vMerge/>
            <w:noWrap/>
          </w:tcPr>
          <w:p/>
        </w:tc>
        <w:tc>
          <w:tcPr>
            <w:tcW w:w="588" w:type="dxa"/>
            <w:vMerge/>
            <w:noWrap/>
          </w:tcPr>
          <w:p/>
        </w:tc>
        <w:tc>
          <w:tcPr>
            <w:tcW w:w="588" w:type="dxa"/>
            <w:vMerge/>
            <w:noWrap/>
          </w:tcPr>
          <w:p/>
        </w:tc>
        <w:tc>
          <w:tcPr>
            <w:tcW w:w="2085" w:type="dxa"/>
          </w:tcPr>
          <w:p>
            <w:pPr>
              <w:pStyle w:val="63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合计</w:t>
            </w:r>
          </w:p>
        </w:tc>
        <w:tc>
          <w:tcPr>
            <w:tcW w:w="1524" w:type="dxa"/>
          </w:tcPr>
          <w:p>
            <w:pPr>
              <w:pStyle w:val="632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524" w:type="dxa"/>
          </w:tcPr>
          <w:p>
            <w:pPr>
              <w:pStyle w:val="631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30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9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8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7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1764" w:type="dxa"/>
            <w:gridSpan w:val="3"/>
            <w:noWrap/>
          </w:tcPr>
          <w:p>
            <w:pPr>
              <w:pStyle w:val="62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201</w:t>
            </w:r>
          </w:p>
        </w:tc>
        <w:tc>
          <w:tcPr>
            <w:tcW w:w="2085" w:type="dxa"/>
          </w:tcPr>
          <w:p>
            <w:pPr>
              <w:pStyle w:val="62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一般公共服务支出</w:t>
            </w:r>
          </w:p>
        </w:tc>
        <w:tc>
          <w:tcPr>
            <w:tcW w:w="1524" w:type="dxa"/>
          </w:tcPr>
          <w:p>
            <w:pPr>
              <w:pStyle w:val="623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524" w:type="dxa"/>
          </w:tcPr>
          <w:p>
            <w:pPr>
              <w:pStyle w:val="622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1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20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9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8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1764" w:type="dxa"/>
            <w:gridSpan w:val="3"/>
            <w:noWrap/>
          </w:tcPr>
          <w:p>
            <w:pPr>
              <w:pStyle w:val="61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20109</w:t>
            </w:r>
          </w:p>
        </w:tc>
        <w:tc>
          <w:tcPr>
            <w:tcW w:w="2085" w:type="dxa"/>
          </w:tcPr>
          <w:p>
            <w:pPr>
              <w:pStyle w:val="61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海关事务</w:t>
            </w:r>
          </w:p>
        </w:tc>
        <w:tc>
          <w:tcPr>
            <w:tcW w:w="1524" w:type="dxa"/>
          </w:tcPr>
          <w:p>
            <w:pPr>
              <w:pStyle w:val="614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524" w:type="dxa"/>
          </w:tcPr>
          <w:p>
            <w:pPr>
              <w:pStyle w:val="613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2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1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10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9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8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  <w:tr>
        <w:trPr>
          <w:trHeight w:val="314"/>
        </w:trPr>
        <w:tc>
          <w:tcPr>
            <w:tcW w:w="1764" w:type="dxa"/>
            <w:gridSpan w:val="3"/>
            <w:noWrap/>
          </w:tcPr>
          <w:p>
            <w:pPr>
              <w:pStyle w:val="607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2010950</w:t>
            </w:r>
          </w:p>
        </w:tc>
        <w:tc>
          <w:tcPr>
            <w:tcW w:w="2085" w:type="dxa"/>
          </w:tcPr>
          <w:p>
            <w:pPr>
              <w:pStyle w:val="606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 xml:space="preserve">  事业运行</w:t>
            </w:r>
          </w:p>
        </w:tc>
        <w:tc>
          <w:tcPr>
            <w:tcW w:w="1524" w:type="dxa"/>
          </w:tcPr>
          <w:p>
            <w:pPr>
              <w:pStyle w:val="605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524" w:type="dxa"/>
          </w:tcPr>
          <w:p>
            <w:pPr>
              <w:pStyle w:val="604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3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2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1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600"/>
              <w:spacing w:after="0" w:line="240" w:lineRule="auto"/>
              <w:rPr>
                <w:rFonts w:ascii="方正仿宋_GBK" w:eastAsia="方正仿宋_GBK"/>
              </w:rPr>
            </w:pPr>
          </w:p>
        </w:tc>
        <w:tc>
          <w:tcPr>
            <w:tcW w:w="1524" w:type="dxa"/>
          </w:tcPr>
          <w:p>
            <w:pPr>
              <w:pStyle w:val="599"/>
              <w:spacing w:after="0" w:line="240" w:lineRule="auto"/>
              <w:rPr>
                <w:rFonts w:ascii="方正仿宋_GBK" w:eastAsia="方正仿宋_GBK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</w:tr>
    </w:tbl>
    <w:p>
      <w:pPr>
        <w:pStyle w:val="654"/>
        <w:wordWrap w:val="0"/>
        <w:autoSpaceDE w:val="0"/>
        <w:autoSpaceDN w:val="0"/>
        <w:spacing w:before="48" w:after="0" w:line="221" w:lineRule="exact"/>
        <w:rPr>
          <w:rFonts w:ascii="SimSun" w:eastAsia="SimSun"/>
          <w:color w:val="000000"/>
          <w:lang w:eastAsia="zh-CN"/>
        </w:rPr>
      </w:pPr>
    </w:p>
    <w:p>
      <w:pPr>
        <w:pStyle w:val="654"/>
        <w:wordWrap w:val="0"/>
        <w:autoSpaceDE w:val="0"/>
        <w:autoSpaceDN w:val="0"/>
        <w:spacing w:before="48" w:after="0" w:line="221" w:lineRule="exact"/>
      </w:pPr>
      <w:r>
        <w:rPr>
          <w:rFonts w:ascii="SimSun" w:eastAsia="SimSun"/>
          <w:color w:val="000000"/>
          <w:lang w:eastAsia="zh-CN"/>
        </w:rPr>
        <w:t>注：</w:t>
      </w:r>
      <w:r>
        <w:rPr>
          <w:rFonts w:ascii="SimSun" w:eastAsia="SimSun"/>
          <w:color w:val="000000"/>
          <w:spacing w:val="-1"/>
          <w:lang w:eastAsia="zh-CN"/>
        </w:rPr>
        <w:t>本表反映部门本年度各项收入情况。</w:t>
      </w:r>
    </w:p>
    <w:p>
      <w:pPr>
        <w:pStyle w:val="539"/>
        <w:wordWrap w:val="0"/>
        <w:autoSpaceDE w:val="0"/>
        <w:autoSpaceDN w:val="0"/>
        <w:spacing w:before="225" w:after="72" w:line="199" w:lineRule="exact"/>
        <w:jc w:val="both"/>
        <w:rPr>
          <w:rFonts w:ascii="KaiTi" w:eastAsia="KaiTi" w:hAnsi="KaiTi"/>
          <w:b/>
          <w:color w:val="000000"/>
          <w:spacing w:val="2"/>
          <w:sz w:val="32"/>
          <w:lang w:eastAsia="zh-CN"/>
        </w:rPr>
      </w:pPr>
      <w:r>
        <w:rPr>
          <w:rFonts w:ascii="KaiTi" w:eastAsia="KaiTi" w:hAnsi="KaiTi"/>
          <w:b/>
          <w:color w:val="000000"/>
          <w:spacing w:val="2"/>
          <w:sz w:val="32"/>
          <w:lang w:eastAsia="zh-CN"/>
        </w:rPr>
        <w:br w:type="page"/>
      </w:r>
    </w:p>
    <w:p>
      <w:pPr>
        <w:pStyle w:val="539"/>
        <w:wordWrap w:val="0"/>
        <w:autoSpaceDE w:val="0"/>
        <w:autoSpaceDN w:val="0"/>
        <w:spacing w:before="225" w:after="72" w:line="199" w:lineRule="exact"/>
        <w:jc w:val="center"/>
        <w:rPr>
          <w:rFonts w:ascii="方正仿宋_GBK" w:eastAsia="方正仿宋_GBK"/>
        </w:rPr>
      </w:pPr>
      <w:r>
        <w:rPr>
          <w:rFonts w:ascii="KaiTi" w:eastAsia="KaiTi" w:hAnsi="KaiTi"/>
          <w:b/>
          <w:color w:val="000000"/>
          <w:spacing w:val="2"/>
          <w:sz w:val="32"/>
          <w:lang w:eastAsia="zh-CN"/>
        </w:rPr>
        <w:t>（三）支出决算表</w:t>
      </w:r>
    </w:p>
    <w:p>
      <w:pPr>
        <w:wordWrap w:val="0"/>
        <w:autoSpaceDE w:val="0"/>
        <w:autoSpaceDN w:val="0"/>
        <w:spacing w:before="225" w:after="72" w:line="199" w:lineRule="exact"/>
        <w:ind w:left="13218"/>
        <w:rPr>
          <w:rFonts w:ascii="SimSun" w:eastAsia="SimSun"/>
          <w:color w:val="000000"/>
          <w:sz w:val="20"/>
          <w:lang w:eastAsia="zh-CN"/>
        </w:rPr>
      </w:pPr>
      <w:r>
        <w:rPr>
          <w:rFonts w:ascii="SimSun" w:eastAsia="SimSun"/>
          <w:color w:val="000000"/>
          <w:sz w:val="20"/>
          <w:lang w:eastAsia="zh-CN"/>
        </w:rPr>
        <w:t>公开</w:t>
      </w:r>
      <w:r>
        <w:rPr>
          <w:rFonts w:ascii="Times New Roman" w:eastAsia="SimSun" w:hAnsi="Times New Roman"/>
          <w:color w:val="000000"/>
          <w:spacing w:val="1"/>
          <w:sz w:val="20"/>
        </w:rPr>
        <w:t xml:space="preserve"> </w:t>
      </w:r>
      <w:r>
        <w:rPr>
          <w:rFonts w:ascii="Times New Roman" w:eastAsia="SimSun" w:cs="Times New Roman" w:hAnsi="Times New Roman"/>
          <w:color w:val="000000"/>
          <w:spacing w:val="1"/>
          <w:sz w:val="20"/>
        </w:rPr>
        <w:t>03</w:t>
      </w:r>
      <w:r>
        <w:rPr>
          <w:rFonts w:ascii="Times New Roman" w:eastAsia="SimSun" w:hAnsi="Times New Roman"/>
          <w:color w:val="000000"/>
          <w:spacing w:val="2"/>
          <w:sz w:val="20"/>
        </w:rPr>
        <w:t xml:space="preserve"> </w:t>
      </w:r>
      <w:r>
        <w:rPr>
          <w:rFonts w:ascii="SimSun" w:eastAsia="SimSun"/>
          <w:color w:val="000000"/>
          <w:sz w:val="20"/>
          <w:lang w:eastAsia="zh-CN"/>
        </w:rPr>
        <w:t>表</w:t>
      </w:r>
    </w:p>
    <w:p>
      <w:pPr>
        <w:wordWrap w:val="0"/>
        <w:autoSpaceDE w:val="0"/>
        <w:autoSpaceDN w:val="0"/>
        <w:spacing w:before="225" w:after="72" w:line="199" w:lineRule="exact"/>
      </w:pPr>
      <w:r>
        <w:rPr>
          <w:rFonts w:ascii="方正仿宋_GBK" w:eastAsia="方正仿宋_GBK" w:hint="eastAsia"/>
        </w:rPr>
        <w:t>部门：中国质量认证中心重庆评审中心</w:t>
      </w:r>
      <w:r>
        <w:rPr>
          <w:rFonts w:ascii="方正仿宋_GBK" w:eastAsia="方正仿宋_GBK"/>
        </w:rPr>
        <w:t xml:space="preserve">                                                                                                                                                                    金额单位：万元</w:t>
      </w:r>
    </w:p>
    <w:tbl>
      <w:tblPr>
        <w:tblpPr w:leftFromText="180" w:rightFromText="180" w:vertAnchor="text" w:horzAnchor="page" w:tblpX="1256" w:tblpY="314"/>
        <w:tblOverlap w:val="never"/>
        <w:tblW w:w="14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574"/>
        <w:gridCol w:w="575"/>
        <w:gridCol w:w="2090"/>
        <w:gridCol w:w="1778"/>
        <w:gridCol w:w="1778"/>
        <w:gridCol w:w="1778"/>
        <w:gridCol w:w="1778"/>
        <w:gridCol w:w="1770"/>
        <w:gridCol w:w="1785"/>
      </w:tblGrid>
      <w:tr>
        <w:trPr>
          <w:trHeight w:val="1259"/>
        </w:trPr>
        <w:tc>
          <w:tcPr>
            <w:tcW w:w="1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科目代码</w:t>
            </w:r>
          </w:p>
        </w:tc>
        <w:tc>
          <w:tcPr>
            <w:tcW w:w="2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科目名称</w:t>
            </w:r>
          </w:p>
        </w:tc>
        <w:tc>
          <w:tcPr>
            <w:tcW w:w="17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本年支出合计</w:t>
            </w:r>
          </w:p>
        </w:tc>
        <w:tc>
          <w:tcPr>
            <w:tcW w:w="17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基本支出</w:t>
            </w:r>
          </w:p>
        </w:tc>
        <w:tc>
          <w:tcPr>
            <w:tcW w:w="17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项目支出</w:t>
            </w:r>
          </w:p>
        </w:tc>
        <w:tc>
          <w:tcPr>
            <w:tcW w:w="17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上缴上级支出</w:t>
            </w:r>
          </w:p>
        </w:tc>
        <w:tc>
          <w:tcPr>
            <w:tcW w:w="17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经营支出</w:t>
            </w:r>
          </w:p>
        </w:tc>
        <w:tc>
          <w:tcPr>
            <w:tcW w:w="17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对附属单位补助支出</w:t>
            </w:r>
          </w:p>
        </w:tc>
      </w:tr>
      <w:tr>
        <w:trPr>
          <w:trHeight w:val="512"/>
        </w:trPr>
        <w:tc>
          <w:tcPr>
            <w:tcW w:w="57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类</w:t>
            </w:r>
          </w:p>
        </w:tc>
        <w:tc>
          <w:tcPr>
            <w:tcW w:w="574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款</w:t>
            </w:r>
          </w:p>
        </w:tc>
        <w:tc>
          <w:tcPr>
            <w:tcW w:w="574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栏次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jc w:val="center"/>
              <w:rPr>
                <w:rFonts w:ascii="Times New Roman" w:eastAsia="方正仿宋_GBK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6</w:t>
            </w:r>
          </w:p>
        </w:tc>
      </w:tr>
      <w:tr>
        <w:trPr>
          <w:trHeight w:val="512"/>
        </w:trPr>
        <w:tc>
          <w:tcPr>
            <w:tcW w:w="5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74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74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合计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</w:tr>
      <w:tr>
        <w:trPr>
          <w:trHeight w:val="314"/>
        </w:trPr>
        <w:tc>
          <w:tcPr>
            <w:tcW w:w="172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一般公共服务支出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</w:tr>
      <w:tr>
        <w:trPr>
          <w:trHeight w:val="314"/>
        </w:trPr>
        <w:tc>
          <w:tcPr>
            <w:tcW w:w="172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20109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>海关事务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</w:tr>
      <w:tr>
        <w:trPr>
          <w:trHeight w:val="314"/>
        </w:trPr>
        <w:tc>
          <w:tcPr>
            <w:tcW w:w="172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2010950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Times New Roman" w:hint="eastAsia"/>
              </w:rPr>
              <w:t xml:space="preserve">  事业运行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  <w:r>
              <w:rPr>
                <w:rFonts w:ascii="Times New Roman" w:eastAsia="方正仿宋_GBK" w:cs="Times New Roman" w:hAnsi="Times New Roman"/>
              </w:rPr>
              <w:t>0</w:t>
            </w:r>
            <w:r>
              <w:rPr>
                <w:rFonts w:ascii="方正仿宋_GBK" w:eastAsia="方正仿宋_GBK" w:cs="Times New Roman" w:hint="eastAsia"/>
              </w:rPr>
              <w:t>.</w:t>
            </w:r>
            <w:r>
              <w:rPr>
                <w:rFonts w:ascii="Times New Roman" w:eastAsia="方正仿宋_GBK" w:cs="Times New Roman" w:hAnsi="Times New Roman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  <w:tl2br w:val="nil"/>
              <w:tr2bl w:val="nil"/>
            </w:tcBorders>
            <w:noWrap/>
            <w:vAlign w:val="center"/>
          </w:tcPr>
          <w:p>
            <w:pPr>
              <w:pStyle w:val="652"/>
              <w:spacing w:after="0" w:line="240" w:lineRule="auto"/>
              <w:rPr>
                <w:rFonts w:ascii="方正仿宋_GBK" w:eastAsia="方正仿宋_GBK" w:cs="Times New Roman"/>
              </w:rPr>
            </w:pPr>
          </w:p>
        </w:tc>
      </w:tr>
    </w:tbl>
    <w:p>
      <w:pPr>
        <w:wordWrap w:val="0"/>
        <w:autoSpaceDE w:val="0"/>
        <w:autoSpaceDN w:val="0"/>
        <w:spacing w:before="225" w:after="72" w:line="199" w:lineRule="exact"/>
      </w:pPr>
    </w:p>
    <w:p>
      <w:pPr>
        <w:wordWrap w:val="0"/>
        <w:autoSpaceDE w:val="0"/>
        <w:autoSpaceDN w:val="0"/>
        <w:spacing w:before="59" w:after="0" w:line="14" w:lineRule="exact"/>
      </w:pPr>
    </w:p>
    <w:p>
      <w:pPr>
        <w:wordWrap w:val="0"/>
        <w:autoSpaceDE w:val="0"/>
        <w:autoSpaceDN w:val="0"/>
        <w:spacing w:before="48" w:after="0" w:line="221" w:lineRule="exact"/>
        <w:ind w:left="155"/>
      </w:pPr>
      <w:r>
        <w:rPr>
          <w:rFonts w:ascii="SimSun" w:eastAsia="SimSun"/>
          <w:color w:val="000000"/>
          <w:lang w:eastAsia="zh-CN"/>
        </w:rPr>
        <w:t>注：</w:t>
      </w:r>
      <w:r>
        <w:rPr>
          <w:rFonts w:ascii="SimSun" w:eastAsia="SimSun"/>
          <w:color w:val="000000"/>
          <w:spacing w:val="-1"/>
          <w:lang w:eastAsia="zh-CN"/>
        </w:rPr>
        <w:t>本表反映部门本年度各项支出情况。</w:t>
      </w:r>
    </w:p>
    <w:p>
      <w:pPr>
        <w:spacing w:after="0"/>
        <w:sectPr>
          <w:pgSz w:w="16841" w:h="11906"/>
          <w:pgMar w:top="793" w:right="1282" w:bottom="1440" w:left="1285" w:header="720" w:footer="720" w:gutter="0"/>
          <w:docGrid w:linePitch="360" w:charSpace="0"/>
        </w:sectPr>
      </w:pPr>
    </w:p>
    <w:p>
      <w:pPr>
        <w:wordWrap w:val="0"/>
        <w:autoSpaceDE w:val="0"/>
        <w:autoSpaceDN w:val="0"/>
        <w:spacing w:after="467" w:line="14" w:lineRule="exact"/>
      </w:pPr>
    </w:p>
    <w:p>
      <w:pPr>
        <w:wordWrap w:val="0"/>
        <w:autoSpaceDE w:val="0"/>
        <w:autoSpaceDN w:val="0"/>
        <w:spacing w:after="0" w:line="560" w:lineRule="exact"/>
        <w:ind w:firstLineChars="200" w:firstLine="648"/>
        <w:rPr>
          <w:rFonts w:ascii="方正黑体_GBK" w:eastAsia="方正黑体_GBK"/>
        </w:rPr>
      </w:pPr>
      <w:r>
        <w:rPr>
          <w:rFonts w:ascii="方正黑体_GBK" w:eastAsia="方正黑体_GBK" w:hint="eastAsia"/>
          <w:color w:val="000000"/>
          <w:spacing w:val="2"/>
          <w:sz w:val="32"/>
          <w:lang w:eastAsia="zh-CN"/>
        </w:rPr>
        <w:t>三、</w:t>
      </w:r>
      <w:r>
        <w:rPr>
          <w:rFonts w:ascii="Times New Roman" w:eastAsia="方正黑体_GBK" w:cs="Times New Roman" w:hAnsi="Times New Roman"/>
          <w:color w:val="000000"/>
          <w:spacing w:val="-1"/>
          <w:sz w:val="32"/>
        </w:rPr>
        <w:t>2022</w:t>
      </w:r>
      <w:r>
        <w:rPr>
          <w:rFonts w:ascii="方正黑体_GBK" w:eastAsia="方正黑体_GBK" w:hint="eastAsia"/>
          <w:color w:val="000000"/>
          <w:spacing w:val="1"/>
          <w:sz w:val="32"/>
          <w:lang w:eastAsia="zh-CN"/>
        </w:rPr>
        <w:t>年度部门决算情况说明</w:t>
      </w:r>
    </w:p>
    <w:p>
      <w:pPr>
        <w:wordWrap w:val="0"/>
        <w:autoSpaceDE w:val="0"/>
        <w:autoSpaceDN w:val="0"/>
        <w:spacing w:after="0" w:line="560" w:lineRule="exact"/>
        <w:ind w:firstLineChars="200" w:firstLine="648"/>
        <w:rPr>
          <w:rFonts w:ascii="方正楷体_GBK" w:eastAsia="方正楷体_GBK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lang w:eastAsia="zh-CN"/>
        </w:rPr>
        <w:t>（一）收入支出决算总体情况说明</w:t>
      </w:r>
      <w:r>
        <w:rPr>
          <w:rFonts w:ascii="方正楷体_GBK" w:eastAsia="方正楷体_GBK" w:hint="eastAsia"/>
          <w:b/>
          <w:color w:val="000000"/>
          <w:spacing w:val="6"/>
          <w:sz w:val="32"/>
          <w:lang w:eastAsia="zh-CN"/>
        </w:rPr>
        <w:t>。</w:t>
      </w:r>
    </w:p>
    <w:p>
      <w:pPr>
        <w:wordWrap w:val="0"/>
        <w:autoSpaceDE w:val="0"/>
        <w:autoSpaceDN w:val="0"/>
        <w:spacing w:after="0" w:line="560" w:lineRule="exact"/>
        <w:ind w:firstLineChars="200" w:firstLine="644"/>
        <w:rPr>
          <w:rFonts w:ascii="方正仿宋_GBK" w:eastAsia="方正仿宋_GBK"/>
        </w:rPr>
      </w:pP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2022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年度收</w:t>
      </w:r>
      <w:r>
        <w:rPr>
          <w:rFonts w:ascii="方正仿宋_GBK" w:eastAsia="方正仿宋_GBK" w:hint="eastAsia"/>
          <w:color w:val="000000"/>
          <w:sz w:val="32"/>
          <w:lang w:eastAsia="zh-CN"/>
        </w:rPr>
        <w:t>、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支总计</w:t>
      </w: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0</w:t>
      </w:r>
      <w:r>
        <w:rPr>
          <w:rFonts w:ascii="方正仿宋_GBK" w:eastAsia="方正仿宋_GBK" w:hint="eastAsia"/>
          <w:color w:val="000000"/>
          <w:sz w:val="32"/>
        </w:rPr>
        <w:t>.</w:t>
      </w: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06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万元。</w:t>
      </w:r>
    </w:p>
    <w:p>
      <w:pPr>
        <w:wordWrap w:val="0"/>
        <w:autoSpaceDE w:val="0"/>
        <w:autoSpaceDN w:val="0"/>
        <w:spacing w:after="0" w:line="560" w:lineRule="exact"/>
        <w:ind w:firstLineChars="200" w:firstLine="648"/>
        <w:rPr>
          <w:rFonts w:ascii="方正楷体_GBK" w:eastAsia="方正楷体_GBK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lang w:eastAsia="zh-CN"/>
        </w:rPr>
        <w:t>（二）收入决算情况说明</w:t>
      </w:r>
      <w:r>
        <w:rPr>
          <w:rFonts w:ascii="方正楷体_GBK" w:eastAsia="方正楷体_GBK" w:hint="eastAsia"/>
          <w:b/>
          <w:color w:val="000000"/>
          <w:spacing w:val="5"/>
          <w:sz w:val="32"/>
          <w:lang w:eastAsia="zh-CN"/>
        </w:rPr>
        <w:t>。</w:t>
      </w:r>
    </w:p>
    <w:p>
      <w:pPr>
        <w:wordWrap w:val="0"/>
        <w:autoSpaceDE w:val="0"/>
        <w:autoSpaceDN w:val="0"/>
        <w:spacing w:after="0" w:line="560" w:lineRule="exact"/>
        <w:ind w:firstLineChars="200" w:firstLine="644"/>
        <w:rPr>
          <w:rFonts w:ascii="方正仿宋_GBK" w:eastAsia="方正仿宋_GBK"/>
        </w:rPr>
      </w:pP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2022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年度收入合计</w:t>
      </w: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0</w:t>
      </w:r>
      <w:r>
        <w:rPr>
          <w:rFonts w:ascii="方正仿宋_GBK" w:eastAsia="方正仿宋_GBK" w:hint="eastAsia"/>
          <w:color w:val="000000"/>
          <w:sz w:val="32"/>
        </w:rPr>
        <w:t>.</w:t>
      </w:r>
      <w:r>
        <w:rPr>
          <w:rFonts w:ascii="Times New Roman" w:eastAsia="方正仿宋_GBK" w:cs="Times New Roman" w:hAnsi="Times New Roman"/>
          <w:color w:val="000000"/>
          <w:sz w:val="32"/>
        </w:rPr>
        <w:t>06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万元</w:t>
      </w:r>
      <w:r>
        <w:rPr>
          <w:rFonts w:ascii="方正仿宋_GBK" w:eastAsia="方正仿宋_GBK" w:hint="eastAsia"/>
          <w:color w:val="000000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全部为利息收入。</w:t>
      </w:r>
    </w:p>
    <w:p>
      <w:pPr>
        <w:wordWrap w:val="0"/>
        <w:autoSpaceDE w:val="0"/>
        <w:autoSpaceDN w:val="0"/>
        <w:spacing w:after="0" w:line="560" w:lineRule="exact"/>
        <w:ind w:firstLineChars="200" w:firstLine="648"/>
        <w:rPr>
          <w:rFonts w:ascii="方正楷体_GBK" w:eastAsia="方正楷体_GBK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lang w:eastAsia="zh-CN"/>
        </w:rPr>
        <w:t>（三）支出决算情况说明。</w:t>
      </w:r>
    </w:p>
    <w:p>
      <w:pPr>
        <w:wordWrap w:val="0"/>
        <w:autoSpaceDE w:val="0"/>
        <w:autoSpaceDN w:val="0"/>
        <w:spacing w:after="0" w:line="560" w:lineRule="exact"/>
        <w:ind w:firstLineChars="200" w:firstLine="644"/>
        <w:rPr>
          <w:rFonts w:ascii="方正仿宋_GBK" w:eastAsia="方正仿宋_GBK"/>
        </w:rPr>
      </w:pP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2022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年度支出合计</w:t>
      </w: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0</w:t>
      </w:r>
      <w:r>
        <w:rPr>
          <w:rFonts w:ascii="方正仿宋_GBK" w:eastAsia="方正仿宋_GBK" w:hint="eastAsia"/>
          <w:color w:val="000000"/>
          <w:sz w:val="32"/>
        </w:rPr>
        <w:t>.</w:t>
      </w:r>
      <w:r>
        <w:rPr>
          <w:rFonts w:ascii="Times New Roman" w:eastAsia="方正仿宋_GBK" w:cs="Times New Roman" w:hAnsi="Times New Roman"/>
          <w:color w:val="000000"/>
          <w:sz w:val="32"/>
        </w:rPr>
        <w:t>06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万元</w:t>
      </w:r>
      <w:r>
        <w:rPr>
          <w:rFonts w:ascii="方正仿宋_GBK" w:eastAsia="方正仿宋_GBK" w:hint="eastAsia"/>
          <w:color w:val="000000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全部为手续费</w:t>
      </w:r>
      <w:r>
        <w:rPr>
          <w:rFonts w:ascii="方正仿宋_GBK" w:eastAsia="方正仿宋_GBK" w:hint="eastAsia"/>
          <w:color w:val="000000"/>
          <w:sz w:val="32"/>
          <w:lang w:eastAsia="zh-CN"/>
        </w:rPr>
        <w:t>。</w:t>
      </w:r>
    </w:p>
    <w:p>
      <w:pPr>
        <w:wordWrap w:val="0"/>
        <w:autoSpaceDE w:val="0"/>
        <w:autoSpaceDN w:val="0"/>
        <w:spacing w:after="0" w:line="560" w:lineRule="exact"/>
        <w:ind w:firstLineChars="200" w:firstLine="648"/>
        <w:rPr>
          <w:rFonts w:ascii="方正楷体_GBK" w:eastAsia="方正楷体_GBK"/>
        </w:rPr>
      </w:pPr>
      <w:r>
        <w:rPr>
          <w:rFonts w:ascii="方正楷体_GBK" w:eastAsia="方正楷体_GBK" w:hint="eastAsia"/>
          <w:b/>
          <w:color w:val="000000"/>
          <w:spacing w:val="2"/>
          <w:sz w:val="32"/>
          <w:lang w:eastAsia="zh-CN"/>
        </w:rPr>
        <w:t>（四）财政拨款收入支出总体情况说明</w:t>
      </w:r>
      <w:r>
        <w:rPr>
          <w:rFonts w:ascii="方正楷体_GBK" w:eastAsia="方正楷体_GBK" w:hint="eastAsia"/>
          <w:b/>
          <w:color w:val="000000"/>
          <w:spacing w:val="3"/>
          <w:sz w:val="32"/>
          <w:lang w:eastAsia="zh-CN"/>
        </w:rPr>
        <w:t>。</w:t>
      </w:r>
    </w:p>
    <w:p>
      <w:pPr>
        <w:wordWrap w:val="0"/>
        <w:autoSpaceDE w:val="0"/>
        <w:autoSpaceDN w:val="0"/>
        <w:spacing w:after="0" w:line="560" w:lineRule="exact"/>
        <w:ind w:firstLineChars="200" w:firstLine="644"/>
        <w:rPr>
          <w:rFonts w:ascii="方正仿宋_GBK" w:eastAsia="方正仿宋_GBK"/>
        </w:rPr>
      </w:pPr>
      <w:r>
        <w:rPr>
          <w:rFonts w:ascii="Times New Roman" w:eastAsia="方正仿宋_GBK" w:cs="Times New Roman" w:hAnsi="Times New Roman"/>
          <w:color w:val="000000"/>
          <w:spacing w:val="1"/>
          <w:sz w:val="32"/>
        </w:rPr>
        <w:t>2022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年度无财政拨款收入</w:t>
      </w:r>
      <w:r>
        <w:rPr>
          <w:rFonts w:ascii="方正仿宋_GBK" w:eastAsia="方正仿宋_GBK" w:hint="eastAsia"/>
          <w:color w:val="000000"/>
          <w:sz w:val="32"/>
          <w:lang w:eastAsia="zh-CN"/>
        </w:rPr>
        <w:t>，</w:t>
      </w:r>
      <w:r>
        <w:rPr>
          <w:rFonts w:ascii="方正仿宋_GBK" w:eastAsia="方正仿宋_GBK" w:hint="eastAsia"/>
          <w:color w:val="000000"/>
          <w:spacing w:val="1"/>
          <w:sz w:val="32"/>
          <w:lang w:eastAsia="zh-CN"/>
        </w:rPr>
        <w:t>无财政拨款支出</w:t>
      </w:r>
      <w:r>
        <w:rPr>
          <w:rFonts w:ascii="方正仿宋_GBK" w:eastAsia="方正仿宋_GBK" w:hint="eastAsia"/>
          <w:color w:val="000000"/>
          <w:spacing w:val="2"/>
          <w:sz w:val="32"/>
          <w:lang w:eastAsia="zh-CN"/>
        </w:rPr>
        <w:t>。</w:t>
      </w:r>
    </w:p>
    <w:sectPr>
      <w:pgSz w:w="11906" w:h="16841"/>
      <w:pgMar w:top="935" w:right="1440" w:bottom="1440" w:left="1440" w:header="720" w:footer="720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FangSong">
    <w:altName w:val="Arial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KaiTi">
    <w:altName w:val="Arial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variable"/>
    <w:sig w:usb0="E00002FF" w:usb1="6AC7FDFB" w:usb2="00000012" w:usb3="00000000" w:csb0="0002009F" w:csb1="00000000"/>
  </w:font>
  <w:font w:name="Courier">
    <w:altName w:val="Courier New"/>
    <w:panose1 w:val="02070409020205020404"/>
    <w:charset w:val="00"/>
    <w:family w:val="moder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FFFFFF89"/>
    <w:multiLevelType w:val="singleLevel"/>
    <w:tmpl w:val="29761A62"/>
    <w:lvl w:ilvl="0">
      <w:start w:val="1"/>
      <w:numFmt w:val="bullet"/>
      <w:lvlRestart w:val="0"/>
      <w:pStyle w:val="2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Restart w:val="0"/>
      <w:pStyle w:val="28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Restart w:val="0"/>
      <w:pStyle w:val="29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numFmt w:val="decimal"/>
      <w:lvlRestart w:val="0"/>
      <w:pStyle w:val="3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7F"/>
    <w:multiLevelType w:val="singleLevel"/>
    <w:tmpl w:val="38441652"/>
    <w:lvl w:ilvl="0">
      <w:start w:val="1"/>
      <w:numFmt w:val="decimal"/>
      <w:lvlRestart w:val="0"/>
      <w:pStyle w:val="3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7E"/>
    <w:multiLevelType w:val="singleLevel"/>
    <w:tmpl w:val="FB12693A"/>
    <w:lvl w:ilvl="0">
      <w:start w:val="1"/>
      <w:numFmt w:val="decimal"/>
      <w:lvlRestart w:val="0"/>
      <w:pStyle w:val="32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87"/>
  <w:bordersDoNotSurroundHeader/>
  <w:bordersDoNotSurroundFooter/>
  <w:defaultTabStop w:val="720"/>
  <w:drawingGridHorizontalSpacing w:val="110"/>
  <w:drawingGridVerticalSpacing w:val="156"/>
  <w:displayHorizontalDrawingGridEvery w:val="0"/>
  <w:displayVerticalDrawingGridEvery w:val="1"/>
  <w:noPunctuationKerning/>
  <w:compat>
    <w:spaceForUL/>
    <w:ulTrailSpac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styleId="1">
    <w:name w:val="heading 1"/>
    <w:basedOn w:val="0"/>
    <w:next w:val="0"/>
    <w:pPr>
      <w:keepNext/>
      <w:keepLines/>
      <w:spacing w:before="480" w:after="0"/>
      <w:outlineLvl w:val="0"/>
    </w:pPr>
    <w:rPr>
      <w:rFonts w:ascii="Calibri" w:eastAsia="MS Gothic" w:cs="Times New Roman" w:hAnsi="Calibri"/>
      <w:b/>
      <w:bCs/>
      <w:color w:val="365F91"/>
      <w:sz w:val="28"/>
      <w:szCs w:val="28"/>
    </w:rPr>
  </w:style>
  <w:style w:type="paragraph" w:styleId="2">
    <w:name w:val="heading 2"/>
    <w:basedOn w:val="0"/>
    <w:next w:val="0"/>
    <w:pPr>
      <w:keepNext/>
      <w:keepLines/>
      <w:spacing w:before="200" w:after="0"/>
      <w:outlineLvl w:val="1"/>
    </w:pPr>
    <w:rPr>
      <w:rFonts w:ascii="Calibri" w:eastAsia="MS Gothic" w:cs="Times New Roman" w:hAnsi="Calibri"/>
      <w:b/>
      <w:bCs/>
      <w:color w:val="4F81BD"/>
      <w:sz w:val="26"/>
      <w:szCs w:val="26"/>
    </w:rPr>
  </w:style>
  <w:style w:type="paragraph" w:styleId="3">
    <w:name w:val="heading 3"/>
    <w:basedOn w:val="0"/>
    <w:next w:val="0"/>
    <w:pPr>
      <w:keepNext/>
      <w:keepLines/>
      <w:spacing w:before="200" w:after="0"/>
      <w:outlineLvl w:val="2"/>
    </w:pPr>
    <w:rPr>
      <w:rFonts w:ascii="Calibri" w:eastAsia="MS Gothic" w:cs="Times New Roman" w:hAnsi="Calibri"/>
      <w:b/>
      <w:bCs/>
      <w:color w:val="4F81BD"/>
    </w:rPr>
  </w:style>
  <w:style w:type="paragraph" w:styleId="4">
    <w:name w:val="heading 4"/>
    <w:basedOn w:val="0"/>
    <w:next w:val="0"/>
    <w:pPr>
      <w:keepNext/>
      <w:keepLines/>
      <w:spacing w:before="200" w:after="0"/>
      <w:outlineLvl w:val="3"/>
    </w:pPr>
    <w:rPr>
      <w:rFonts w:ascii="Calibri" w:eastAsia="MS Gothic" w:cs="Times New Roman" w:hAnsi="Calibri"/>
      <w:b/>
      <w:bCs/>
      <w:i/>
      <w:iCs/>
      <w:color w:val="4F81BD"/>
    </w:rPr>
  </w:style>
  <w:style w:type="paragraph" w:styleId="5">
    <w:name w:val="heading 5"/>
    <w:basedOn w:val="0"/>
    <w:next w:val="0"/>
    <w:pPr>
      <w:keepNext/>
      <w:keepLines/>
      <w:spacing w:before="200" w:after="0"/>
      <w:outlineLvl w:val="4"/>
    </w:pPr>
    <w:rPr>
      <w:rFonts w:ascii="Calibri" w:eastAsia="MS Gothic" w:cs="Times New Roman" w:hAnsi="Calibri"/>
      <w:color w:val="243F60"/>
    </w:rPr>
  </w:style>
  <w:style w:type="paragraph" w:styleId="6">
    <w:name w:val="heading 6"/>
    <w:basedOn w:val="0"/>
    <w:next w:val="0"/>
    <w:pPr>
      <w:keepNext/>
      <w:keepLines/>
      <w:spacing w:before="200" w:after="0"/>
      <w:outlineLvl w:val="5"/>
    </w:pPr>
    <w:rPr>
      <w:rFonts w:ascii="Calibri" w:eastAsia="MS Gothic" w:cs="Times New Roman" w:hAnsi="Calibri"/>
      <w:i/>
      <w:iCs/>
      <w:color w:val="243F60"/>
    </w:rPr>
  </w:style>
  <w:style w:type="paragraph" w:styleId="7">
    <w:name w:val="heading 7"/>
    <w:basedOn w:val="0"/>
    <w:next w:val="0"/>
    <w:pPr>
      <w:keepNext/>
      <w:keepLines/>
      <w:spacing w:before="200" w:after="0"/>
      <w:outlineLvl w:val="6"/>
    </w:pPr>
    <w:rPr>
      <w:rFonts w:ascii="Calibri" w:eastAsia="MS Gothic" w:cs="Times New Roman" w:hAnsi="Calibri"/>
      <w:i/>
      <w:iCs/>
      <w:color w:val="404040"/>
    </w:rPr>
  </w:style>
  <w:style w:type="paragraph" w:styleId="8">
    <w:name w:val="heading 8"/>
    <w:basedOn w:val="0"/>
    <w:next w:val="0"/>
    <w:pPr>
      <w:keepNext/>
      <w:keepLines/>
      <w:spacing w:before="200" w:after="0"/>
      <w:outlineLvl w:val="7"/>
    </w:pPr>
    <w:rPr>
      <w:rFonts w:ascii="Calibri" w:eastAsia="MS Gothic" w:cs="Times New Roman" w:hAnsi="Calibri"/>
      <w:color w:val="4F81BD"/>
      <w:sz w:val="20"/>
      <w:szCs w:val="20"/>
    </w:rPr>
  </w:style>
  <w:style w:type="paragraph" w:styleId="9">
    <w:name w:val="heading 9"/>
    <w:basedOn w:val="0"/>
    <w:next w:val="0"/>
    <w:pPr>
      <w:keepNext/>
      <w:keepLines/>
      <w:spacing w:before="200" w:after="0"/>
      <w:outlineLvl w:val="8"/>
    </w:pPr>
    <w:rPr>
      <w:rFonts w:ascii="Calibri" w:eastAsia="MS Gothic" w:cs="Times New Roman" w:hAnsi="Calibri"/>
      <w:i/>
      <w:iCs/>
      <w:color w:val="404040"/>
      <w:sz w:val="20"/>
      <w:szCs w:val="20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680"/>
        <w:tab w:val="right" w:pos="9360"/>
      </w:tabs>
      <w:spacing w:after="0" w:line="240" w:lineRule="auto"/>
    </w:pPr>
  </w:style>
  <w:style w:type="paragraph" w:styleId="16">
    <w:name w:val="footer"/>
    <w:basedOn w:val="0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17">
    <w:name w:val="无间隔1"/>
    <w:rPr>
      <w:rFonts w:ascii="Cambria" w:eastAsia="MS Mincho" w:cs="Arial" w:hAnsi="Cambria"/>
      <w:sz w:val="22"/>
      <w:szCs w:val="22"/>
      <w:lang w:val="en-US" w:eastAsia="en-US" w:bidi="ar-SA"/>
    </w:rPr>
  </w:style>
  <w:style w:type="paragraph" w:styleId="18">
    <w:name w:val="Title"/>
    <w:basedOn w:val="0"/>
    <w:next w:val="0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cs="Times New Roman" w:hAnsi="Calibri"/>
      <w:color w:val="17365D"/>
      <w:spacing w:val="5"/>
      <w:kern w:val="28"/>
      <w:sz w:val="52"/>
      <w:szCs w:val="52"/>
    </w:rPr>
  </w:style>
  <w:style w:type="paragraph" w:styleId="19">
    <w:name w:val="Subtitle"/>
    <w:basedOn w:val="0"/>
    <w:next w:val="0"/>
    <w:rPr>
      <w:rFonts w:ascii="Calibri" w:eastAsia="MS Gothic" w:cs="Times New Roman" w:hAnsi="Calibri"/>
      <w:i/>
      <w:iCs/>
      <w:color w:val="4F81BD"/>
      <w:spacing w:val="15"/>
      <w:sz w:val="24"/>
      <w:szCs w:val="24"/>
    </w:rPr>
  </w:style>
  <w:style w:type="paragraph" w:customStyle="1" w:styleId="20">
    <w:name w:val="列出段落1"/>
    <w:basedOn w:val="0"/>
    <w:pPr>
      <w:ind w:left="720"/>
      <w:contextualSpacing/>
    </w:pPr>
  </w:style>
  <w:style w:type="paragraph" w:styleId="21">
    <w:name w:val="Body Text"/>
    <w:basedOn w:val="0"/>
    <w:pPr>
      <w:spacing w:after="120"/>
    </w:pPr>
  </w:style>
  <w:style w:type="paragraph" w:styleId="22">
    <w:name w:val="Body Text 2"/>
    <w:basedOn w:val="0"/>
    <w:pPr>
      <w:spacing w:after="120" w:line="480" w:lineRule="auto"/>
    </w:pPr>
  </w:style>
  <w:style w:type="paragraph" w:styleId="23">
    <w:name w:val="Body Text 3"/>
    <w:basedOn w:val="0"/>
    <w:pPr>
      <w:spacing w:after="120"/>
    </w:pPr>
    <w:rPr>
      <w:sz w:val="16"/>
      <w:szCs w:val="16"/>
    </w:rPr>
  </w:style>
  <w:style w:type="paragraph" w:styleId="24">
    <w:name w:val="List"/>
    <w:basedOn w:val="0"/>
    <w:pPr>
      <w:ind w:left="360" w:hanging="360"/>
      <w:contextualSpacing/>
    </w:pPr>
  </w:style>
  <w:style w:type="paragraph" w:styleId="25">
    <w:name w:val="List 2"/>
    <w:basedOn w:val="0"/>
    <w:pPr>
      <w:ind w:left="720" w:hanging="360"/>
      <w:contextualSpacing/>
    </w:pPr>
  </w:style>
  <w:style w:type="paragraph" w:styleId="26">
    <w:name w:val="List 3"/>
    <w:basedOn w:val="0"/>
    <w:pPr>
      <w:ind w:left="1080" w:hanging="360"/>
      <w:contextualSpacing/>
    </w:pPr>
  </w:style>
  <w:style w:type="paragraph" w:styleId="27">
    <w:name w:val="List Bullet"/>
    <w:basedOn w:val="0"/>
    <w:pPr>
      <w:numPr>
        <w:ilvl w:val="0"/>
        <w:numId w:val="1"/>
      </w:numPr>
      <w:contextualSpacing/>
    </w:pPr>
  </w:style>
  <w:style w:type="paragraph" w:styleId="28">
    <w:name w:val="List Bullet 2"/>
    <w:basedOn w:val="0"/>
    <w:pPr>
      <w:numPr>
        <w:ilvl w:val="0"/>
        <w:numId w:val="2"/>
      </w:numPr>
      <w:contextualSpacing/>
    </w:pPr>
  </w:style>
  <w:style w:type="paragraph" w:styleId="29">
    <w:name w:val="List Bullet 3"/>
    <w:basedOn w:val="0"/>
    <w:pPr>
      <w:numPr>
        <w:ilvl w:val="0"/>
        <w:numId w:val="3"/>
      </w:numPr>
      <w:contextualSpacing/>
    </w:pPr>
  </w:style>
  <w:style w:type="paragraph" w:styleId="30">
    <w:name w:val="List Number"/>
    <w:basedOn w:val="0"/>
    <w:pPr>
      <w:numPr>
        <w:ilvl w:val="0"/>
        <w:numId w:val="4"/>
      </w:numPr>
      <w:contextualSpacing/>
    </w:pPr>
  </w:style>
  <w:style w:type="paragraph" w:styleId="31">
    <w:name w:val="List Number 2"/>
    <w:basedOn w:val="0"/>
    <w:pPr>
      <w:numPr>
        <w:ilvl w:val="0"/>
        <w:numId w:val="5"/>
      </w:numPr>
      <w:contextualSpacing/>
    </w:pPr>
  </w:style>
  <w:style w:type="paragraph" w:styleId="32">
    <w:name w:val="List Number 3"/>
    <w:basedOn w:val="0"/>
    <w:pPr>
      <w:numPr>
        <w:ilvl w:val="0"/>
        <w:numId w:val="6"/>
      </w:numPr>
      <w:contextualSpacing/>
    </w:pPr>
  </w:style>
  <w:style w:type="paragraph" w:styleId="33">
    <w:name w:val="List Continue"/>
    <w:basedOn w:val="0"/>
    <w:pPr>
      <w:spacing w:after="120"/>
      <w:ind w:left="360"/>
      <w:contextualSpacing/>
    </w:pPr>
  </w:style>
  <w:style w:type="paragraph" w:styleId="34">
    <w:name w:val="List Continue 2"/>
    <w:basedOn w:val="0"/>
    <w:pPr>
      <w:spacing w:after="120"/>
      <w:ind w:left="720"/>
      <w:contextualSpacing/>
    </w:pPr>
  </w:style>
  <w:style w:type="paragraph" w:styleId="35">
    <w:name w:val="List Continue 3"/>
    <w:basedOn w:val="0"/>
    <w:pPr>
      <w:spacing w:after="120"/>
      <w:ind w:left="1080"/>
      <w:contextualSpacing/>
    </w:pPr>
  </w:style>
  <w:style w:type="paragraph" w:styleId="36">
    <w:name w:val="macro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cs="Arial" w:hAnsi="Courier"/>
      <w:lang w:val="en-US" w:eastAsia="en-US" w:bidi="ar-SA"/>
    </w:rPr>
  </w:style>
  <w:style w:type="paragraph" w:customStyle="1" w:styleId="37">
    <w:name w:val="引用1"/>
    <w:basedOn w:val="0"/>
    <w:next w:val="0"/>
    <w:rPr>
      <w:i/>
      <w:iCs/>
      <w:color w:val="000000"/>
    </w:rPr>
  </w:style>
  <w:style w:type="paragraph" w:styleId="38">
    <w:name w:val="caption"/>
    <w:basedOn w:val="0"/>
    <w:next w:val="0"/>
    <w:pPr>
      <w:spacing w:line="240" w:lineRule="auto"/>
    </w:pPr>
    <w:rPr>
      <w:b/>
      <w:bCs/>
      <w:color w:val="4F81BD"/>
      <w:sz w:val="18"/>
      <w:szCs w:val="18"/>
    </w:rPr>
  </w:style>
  <w:style w:type="character" w:styleId="39">
    <w:name w:val="Strong"/>
    <w:basedOn w:val="10"/>
    <w:rPr>
      <w:b/>
      <w:bCs/>
    </w:rPr>
  </w:style>
  <w:style w:type="character" w:styleId="40">
    <w:name w:val="Emphasis"/>
    <w:basedOn w:val="10"/>
    <w:rPr>
      <w:i/>
      <w:iCs/>
    </w:rPr>
  </w:style>
  <w:style w:type="paragraph" w:customStyle="1" w:styleId="41">
    <w:name w:val="明显引用1"/>
    <w:basedOn w:val="0"/>
    <w:next w:val="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42">
    <w:name w:val="不明显强调1"/>
    <w:basedOn w:val="10"/>
    <w:rPr>
      <w:i/>
      <w:iCs/>
      <w:color w:val="808080"/>
    </w:rPr>
  </w:style>
  <w:style w:type="character" w:customStyle="1" w:styleId="43">
    <w:name w:val="明显强调1"/>
    <w:basedOn w:val="10"/>
    <w:rPr>
      <w:b/>
      <w:bCs/>
      <w:i/>
      <w:iCs/>
      <w:color w:val="4F81BD"/>
    </w:rPr>
  </w:style>
  <w:style w:type="character" w:customStyle="1" w:styleId="44">
    <w:name w:val="不明显参考1"/>
    <w:basedOn w:val="10"/>
    <w:rPr>
      <w:caps w:val="0"/>
      <w:smallCaps/>
      <w:color w:val="C0504D"/>
      <w:u w:val="single"/>
    </w:rPr>
  </w:style>
  <w:style w:type="character" w:customStyle="1" w:styleId="45">
    <w:name w:val="明显参考1"/>
    <w:basedOn w:val="10"/>
    <w:rPr>
      <w:b/>
      <w:bCs/>
      <w:caps w:val="0"/>
      <w:smallCaps/>
      <w:color w:val="C0504D"/>
      <w:spacing w:val="5"/>
      <w:u w:val="single"/>
    </w:rPr>
  </w:style>
  <w:style w:type="character" w:customStyle="1" w:styleId="46">
    <w:name w:val="书籍标题1"/>
    <w:basedOn w:val="10"/>
    <w:rPr>
      <w:b/>
      <w:bCs/>
      <w:caps w:val="0"/>
      <w:smallCaps/>
      <w:spacing w:val="5"/>
    </w:rPr>
  </w:style>
  <w:style w:type="paragraph" w:customStyle="1" w:styleId="47">
    <w:name w:val="TOC 标题1"/>
    <w:basedOn w:val="1"/>
    <w:next w:val="0"/>
    <w:pPr>
      <w:outlineLvl w:val="9"/>
    </w:pPr>
  </w:style>
  <w:style w:type="paragraph" w:customStyle="1" w:styleId="48">
    <w:name w:val="样式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">
    <w:name w:val="样式 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">
    <w:name w:val="样式 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">
    <w:name w:val="样式 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">
    <w:name w:val="样式 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">
    <w:name w:val="样式 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">
    <w:name w:val="样式 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">
    <w:name w:val="样式 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">
    <w:name w:val="样式 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">
    <w:name w:val="样式 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">
    <w:name w:val="样式 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">
    <w:name w:val="样式 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">
    <w:name w:val="样式 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">
    <w:name w:val="样式 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">
    <w:name w:val="样式 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">
    <w:name w:val="样式 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">
    <w:name w:val="样式 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">
    <w:name w:val="样式 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6">
    <w:name w:val="样式 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7">
    <w:name w:val="样式 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8">
    <w:name w:val="样式 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9">
    <w:name w:val="样式 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0">
    <w:name w:val="样式 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1">
    <w:name w:val="样式 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2">
    <w:name w:val="样式 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3">
    <w:name w:val="样式 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4">
    <w:name w:val="样式 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5">
    <w:name w:val="样式 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6">
    <w:name w:val="样式 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7">
    <w:name w:val="样式 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8">
    <w:name w:val="样式 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79">
    <w:name w:val="样式 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0">
    <w:name w:val="样式 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1">
    <w:name w:val="样式 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2">
    <w:name w:val="样式 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3">
    <w:name w:val="样式 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4">
    <w:name w:val="样式 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5">
    <w:name w:val="样式 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6">
    <w:name w:val="样式 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7">
    <w:name w:val="样式 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8">
    <w:name w:val="样式 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89">
    <w:name w:val="样式 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0">
    <w:name w:val="样式 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1">
    <w:name w:val="样式 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2">
    <w:name w:val="样式 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3">
    <w:name w:val="样式 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4">
    <w:name w:val="样式 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5">
    <w:name w:val="样式 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6">
    <w:name w:val="样式 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7">
    <w:name w:val="样式 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8">
    <w:name w:val="样式 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99">
    <w:name w:val="样式 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0">
    <w:name w:val="样式 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1">
    <w:name w:val="样式 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2">
    <w:name w:val="样式 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3">
    <w:name w:val="样式 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4">
    <w:name w:val="样式 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5">
    <w:name w:val="样式 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6">
    <w:name w:val="样式 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7">
    <w:name w:val="样式 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8">
    <w:name w:val="样式 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09">
    <w:name w:val="样式 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0">
    <w:name w:val="样式 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1">
    <w:name w:val="样式 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2">
    <w:name w:val="样式 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3">
    <w:name w:val="样式 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4">
    <w:name w:val="样式 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5">
    <w:name w:val="样式 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6">
    <w:name w:val="样式 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7">
    <w:name w:val="样式 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8">
    <w:name w:val="样式 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19">
    <w:name w:val="样式 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0">
    <w:name w:val="样式 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1">
    <w:name w:val="样式 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2">
    <w:name w:val="样式 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3">
    <w:name w:val="样式 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4">
    <w:name w:val="样式 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5">
    <w:name w:val="样式 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6">
    <w:name w:val="样式 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7">
    <w:name w:val="样式 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8">
    <w:name w:val="样式 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29">
    <w:name w:val="样式 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0">
    <w:name w:val="样式 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1">
    <w:name w:val="样式 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2">
    <w:name w:val="样式 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3">
    <w:name w:val="样式 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4">
    <w:name w:val="样式 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5">
    <w:name w:val="样式 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6">
    <w:name w:val="样式 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7">
    <w:name w:val="样式 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8">
    <w:name w:val="样式 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39">
    <w:name w:val="样式 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0">
    <w:name w:val="样式 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1">
    <w:name w:val="样式 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2">
    <w:name w:val="样式 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3">
    <w:name w:val="样式 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4">
    <w:name w:val="样式 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5">
    <w:name w:val="样式 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6">
    <w:name w:val="样式 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7">
    <w:name w:val="样式 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8">
    <w:name w:val="样式 1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49">
    <w:name w:val="样式 1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0">
    <w:name w:val="样式 1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1">
    <w:name w:val="样式 1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2">
    <w:name w:val="样式 1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3">
    <w:name w:val="样式 1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4">
    <w:name w:val="样式 1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5">
    <w:name w:val="样式 1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6">
    <w:name w:val="样式 1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7">
    <w:name w:val="样式 1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8">
    <w:name w:val="样式 1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59">
    <w:name w:val="样式 1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0">
    <w:name w:val="样式 1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1">
    <w:name w:val="样式 1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2">
    <w:name w:val="样式 1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3">
    <w:name w:val="样式 1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4">
    <w:name w:val="样式 1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5">
    <w:name w:val="样式 1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6">
    <w:name w:val="样式 1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7">
    <w:name w:val="样式 1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8">
    <w:name w:val="样式 1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69">
    <w:name w:val="样式 1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0">
    <w:name w:val="样式 1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1">
    <w:name w:val="样式 1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2">
    <w:name w:val="样式 1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3">
    <w:name w:val="样式 1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4">
    <w:name w:val="样式 1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5">
    <w:name w:val="样式 1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6">
    <w:name w:val="样式 1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7">
    <w:name w:val="样式 1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8">
    <w:name w:val="样式 1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79">
    <w:name w:val="样式 1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0">
    <w:name w:val="样式 1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1">
    <w:name w:val="样式 1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2">
    <w:name w:val="样式 1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3">
    <w:name w:val="样式 1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4">
    <w:name w:val="样式 1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5">
    <w:name w:val="样式 1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6">
    <w:name w:val="样式 1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7">
    <w:name w:val="样式 1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8">
    <w:name w:val="样式 1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89">
    <w:name w:val="样式 1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0">
    <w:name w:val="样式 1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1">
    <w:name w:val="样式 1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2">
    <w:name w:val="样式 1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3">
    <w:name w:val="样式 1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4">
    <w:name w:val="样式 1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5">
    <w:name w:val="样式 1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6">
    <w:name w:val="样式 1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7">
    <w:name w:val="样式 1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8">
    <w:name w:val="样式 1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199">
    <w:name w:val="样式 1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0">
    <w:name w:val="样式 1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1">
    <w:name w:val="样式 1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2">
    <w:name w:val="样式 1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3">
    <w:name w:val="样式 1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4">
    <w:name w:val="样式 1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5">
    <w:name w:val="样式 1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6">
    <w:name w:val="样式 1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7">
    <w:name w:val="样式 1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8">
    <w:name w:val="样式 1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09">
    <w:name w:val="样式 1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0">
    <w:name w:val="样式 1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1">
    <w:name w:val="样式 1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2">
    <w:name w:val="样式 1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3">
    <w:name w:val="样式 1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4">
    <w:name w:val="样式 1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5">
    <w:name w:val="样式 1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6">
    <w:name w:val="样式 1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7">
    <w:name w:val="样式 1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8">
    <w:name w:val="样式 1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19">
    <w:name w:val="样式 1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0">
    <w:name w:val="样式 1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1">
    <w:name w:val="样式 1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2">
    <w:name w:val="样式 1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3">
    <w:name w:val="样式 1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4">
    <w:name w:val="样式 1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5">
    <w:name w:val="样式 1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6">
    <w:name w:val="样式 1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7">
    <w:name w:val="样式 1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8">
    <w:name w:val="样式 1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29">
    <w:name w:val="样式 1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0">
    <w:name w:val="样式 1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1">
    <w:name w:val="样式 1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2">
    <w:name w:val="样式 1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3">
    <w:name w:val="样式 1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4">
    <w:name w:val="样式 1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5">
    <w:name w:val="样式 1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6">
    <w:name w:val="样式 1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7">
    <w:name w:val="样式 1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8">
    <w:name w:val="样式 1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39">
    <w:name w:val="样式 1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0">
    <w:name w:val="样式 1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1">
    <w:name w:val="样式 1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2">
    <w:name w:val="样式 1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3">
    <w:name w:val="样式 1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4">
    <w:name w:val="样式 1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5">
    <w:name w:val="样式 1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6">
    <w:name w:val="样式 1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7">
    <w:name w:val="样式 1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8">
    <w:name w:val="样式 2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49">
    <w:name w:val="样式 2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0">
    <w:name w:val="样式 2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1">
    <w:name w:val="样式 2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2">
    <w:name w:val="样式 2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3">
    <w:name w:val="样式 2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4">
    <w:name w:val="样式 2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5">
    <w:name w:val="样式 2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6">
    <w:name w:val="样式 2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7">
    <w:name w:val="样式 2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8">
    <w:name w:val="样式 2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59">
    <w:name w:val="样式 2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0">
    <w:name w:val="样式 2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1">
    <w:name w:val="样式 2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2">
    <w:name w:val="样式 2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3">
    <w:name w:val="样式 2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4">
    <w:name w:val="样式 2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5">
    <w:name w:val="样式 2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6">
    <w:name w:val="样式 2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7">
    <w:name w:val="样式 2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8">
    <w:name w:val="样式 2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69">
    <w:name w:val="样式 2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0">
    <w:name w:val="样式 2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1">
    <w:name w:val="样式 2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2">
    <w:name w:val="样式 2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3">
    <w:name w:val="样式 2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4">
    <w:name w:val="样式 2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5">
    <w:name w:val="样式 2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6">
    <w:name w:val="样式 2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7">
    <w:name w:val="样式 2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8">
    <w:name w:val="样式 2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79">
    <w:name w:val="样式 2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0">
    <w:name w:val="样式 2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1">
    <w:name w:val="样式 2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2">
    <w:name w:val="样式 2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3">
    <w:name w:val="样式 2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4">
    <w:name w:val="样式 2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5">
    <w:name w:val="样式 2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6">
    <w:name w:val="样式 2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7">
    <w:name w:val="样式 2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8">
    <w:name w:val="样式 2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89">
    <w:name w:val="样式 2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0">
    <w:name w:val="样式 2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1">
    <w:name w:val="样式 2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2">
    <w:name w:val="样式 2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3">
    <w:name w:val="样式 2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4">
    <w:name w:val="样式 2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5">
    <w:name w:val="样式 2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6">
    <w:name w:val="样式 2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7">
    <w:name w:val="样式 2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8">
    <w:name w:val="样式 2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299">
    <w:name w:val="样式 2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0">
    <w:name w:val="样式 2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1">
    <w:name w:val="样式 2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2">
    <w:name w:val="样式 2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3">
    <w:name w:val="样式 2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4">
    <w:name w:val="样式 2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5">
    <w:name w:val="样式 2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6">
    <w:name w:val="样式 2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7">
    <w:name w:val="样式 2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8">
    <w:name w:val="样式 2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09">
    <w:name w:val="样式 2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0">
    <w:name w:val="样式 2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1">
    <w:name w:val="样式 2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2">
    <w:name w:val="样式 2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3">
    <w:name w:val="样式 2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4">
    <w:name w:val="样式 2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5">
    <w:name w:val="样式 2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6">
    <w:name w:val="样式 2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7">
    <w:name w:val="样式 2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8">
    <w:name w:val="样式 2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19">
    <w:name w:val="样式 2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0">
    <w:name w:val="样式 2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1">
    <w:name w:val="样式 2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2">
    <w:name w:val="样式 2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3">
    <w:name w:val="样式 2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4">
    <w:name w:val="样式 2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5">
    <w:name w:val="样式 2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6">
    <w:name w:val="样式 2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7">
    <w:name w:val="样式 2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8">
    <w:name w:val="样式 2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29">
    <w:name w:val="样式 2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0">
    <w:name w:val="样式 2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1">
    <w:name w:val="样式 2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2">
    <w:name w:val="样式 2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3">
    <w:name w:val="样式 2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4">
    <w:name w:val="样式 2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5">
    <w:name w:val="样式 2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6">
    <w:name w:val="样式 2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7">
    <w:name w:val="样式 2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8">
    <w:name w:val="样式 2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39">
    <w:name w:val="样式 2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0">
    <w:name w:val="样式 2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1">
    <w:name w:val="样式 2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2">
    <w:name w:val="样式 2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3">
    <w:name w:val="样式 2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4">
    <w:name w:val="样式 2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5">
    <w:name w:val="样式 2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6">
    <w:name w:val="样式 2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7">
    <w:name w:val="样式 2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8">
    <w:name w:val="样式 3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49">
    <w:name w:val="样式 3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0">
    <w:name w:val="样式 3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1">
    <w:name w:val="样式 3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2">
    <w:name w:val="样式 3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3">
    <w:name w:val="样式 3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4">
    <w:name w:val="样式 3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5">
    <w:name w:val="样式 3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6">
    <w:name w:val="样式 3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7">
    <w:name w:val="样式 3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8">
    <w:name w:val="样式 3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59">
    <w:name w:val="样式 3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0">
    <w:name w:val="样式 3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1">
    <w:name w:val="样式 3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2">
    <w:name w:val="样式 3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3">
    <w:name w:val="样式 3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4">
    <w:name w:val="样式 3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5">
    <w:name w:val="样式 3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6">
    <w:name w:val="样式 3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7">
    <w:name w:val="样式 3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8">
    <w:name w:val="样式 3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69">
    <w:name w:val="样式 3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0">
    <w:name w:val="样式 3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1">
    <w:name w:val="样式 3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2">
    <w:name w:val="样式 3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3">
    <w:name w:val="样式 3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4">
    <w:name w:val="样式 3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5">
    <w:name w:val="样式 3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6">
    <w:name w:val="样式 3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7">
    <w:name w:val="样式 3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8">
    <w:name w:val="样式 3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79">
    <w:name w:val="样式 3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0">
    <w:name w:val="样式 3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1">
    <w:name w:val="样式 3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2">
    <w:name w:val="样式 3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3">
    <w:name w:val="样式 3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4">
    <w:name w:val="样式 3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5">
    <w:name w:val="样式 3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6">
    <w:name w:val="样式 3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7">
    <w:name w:val="样式 3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8">
    <w:name w:val="样式 3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89">
    <w:name w:val="样式 3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0">
    <w:name w:val="样式 3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1">
    <w:name w:val="样式 3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2">
    <w:name w:val="样式 3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3">
    <w:name w:val="样式 3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4">
    <w:name w:val="样式 3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5">
    <w:name w:val="样式 3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6">
    <w:name w:val="样式 3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7">
    <w:name w:val="样式 3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8">
    <w:name w:val="样式 3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399">
    <w:name w:val="样式 3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0">
    <w:name w:val="样式 3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1">
    <w:name w:val="样式 3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2">
    <w:name w:val="样式 3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3">
    <w:name w:val="样式 3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4">
    <w:name w:val="样式 3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5">
    <w:name w:val="样式 3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6">
    <w:name w:val="样式 3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7">
    <w:name w:val="样式 3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8">
    <w:name w:val="样式 3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09">
    <w:name w:val="样式 3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0">
    <w:name w:val="样式 3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1">
    <w:name w:val="样式 3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2">
    <w:name w:val="样式 3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3">
    <w:name w:val="样式 3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4">
    <w:name w:val="样式 3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5">
    <w:name w:val="样式 3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6">
    <w:name w:val="样式 3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7">
    <w:name w:val="样式 3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8">
    <w:name w:val="样式 3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19">
    <w:name w:val="样式 3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0">
    <w:name w:val="样式 3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1">
    <w:name w:val="样式 3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2">
    <w:name w:val="样式 3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3">
    <w:name w:val="样式 3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4">
    <w:name w:val="样式 3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5">
    <w:name w:val="样式 3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6">
    <w:name w:val="样式 3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7">
    <w:name w:val="样式 3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8">
    <w:name w:val="样式 3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29">
    <w:name w:val="样式 3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0">
    <w:name w:val="样式 3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1">
    <w:name w:val="样式 3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2">
    <w:name w:val="样式 3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3">
    <w:name w:val="样式 3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4">
    <w:name w:val="样式 3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5">
    <w:name w:val="样式 3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6">
    <w:name w:val="样式 3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7">
    <w:name w:val="样式 3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8">
    <w:name w:val="样式 3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39">
    <w:name w:val="样式 3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0">
    <w:name w:val="样式 3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1">
    <w:name w:val="样式 3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2">
    <w:name w:val="样式 3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3">
    <w:name w:val="样式 3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4">
    <w:name w:val="样式 3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5">
    <w:name w:val="样式 3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6">
    <w:name w:val="样式 3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7">
    <w:name w:val="样式 3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8">
    <w:name w:val="样式 4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49">
    <w:name w:val="样式 4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0">
    <w:name w:val="样式 4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1">
    <w:name w:val="样式 4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2">
    <w:name w:val="样式 4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3">
    <w:name w:val="样式 4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4">
    <w:name w:val="样式 4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5">
    <w:name w:val="样式 4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6">
    <w:name w:val="样式 4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7">
    <w:name w:val="样式 4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8">
    <w:name w:val="样式 4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59">
    <w:name w:val="样式 4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0">
    <w:name w:val="样式 4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1">
    <w:name w:val="样式 4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2">
    <w:name w:val="样式 4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3">
    <w:name w:val="样式 4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4">
    <w:name w:val="样式 4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5">
    <w:name w:val="样式 4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6">
    <w:name w:val="样式 4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7">
    <w:name w:val="样式 4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8">
    <w:name w:val="样式 4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69">
    <w:name w:val="样式 4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0">
    <w:name w:val="样式 4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1">
    <w:name w:val="样式 4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2">
    <w:name w:val="样式 4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3">
    <w:name w:val="样式 4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4">
    <w:name w:val="样式 4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5">
    <w:name w:val="样式 4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6">
    <w:name w:val="样式 4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7">
    <w:name w:val="样式 4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8">
    <w:name w:val="样式 4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79">
    <w:name w:val="样式 4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0">
    <w:name w:val="样式 4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1">
    <w:name w:val="样式 4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2">
    <w:name w:val="样式 4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3">
    <w:name w:val="样式 4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4">
    <w:name w:val="样式 4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5">
    <w:name w:val="样式 4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6">
    <w:name w:val="样式 4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7">
    <w:name w:val="样式 4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8">
    <w:name w:val="样式 4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89">
    <w:name w:val="样式 4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0">
    <w:name w:val="样式 4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1">
    <w:name w:val="样式 4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2">
    <w:name w:val="样式 4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3">
    <w:name w:val="样式 4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4">
    <w:name w:val="样式 4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5">
    <w:name w:val="样式 4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6">
    <w:name w:val="样式 4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7">
    <w:name w:val="样式 4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8">
    <w:name w:val="样式 4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499">
    <w:name w:val="样式 4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0">
    <w:name w:val="样式 4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1">
    <w:name w:val="样式 4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2">
    <w:name w:val="样式 4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3">
    <w:name w:val="样式 4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4">
    <w:name w:val="样式 4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5">
    <w:name w:val="样式 4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6">
    <w:name w:val="样式 4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7">
    <w:name w:val="样式 4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8">
    <w:name w:val="样式 4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09">
    <w:name w:val="样式 4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0">
    <w:name w:val="样式 4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1">
    <w:name w:val="样式 4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2">
    <w:name w:val="样式 4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3">
    <w:name w:val="样式 4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4">
    <w:name w:val="样式 4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5">
    <w:name w:val="样式 4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6">
    <w:name w:val="样式 4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7">
    <w:name w:val="样式 4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8">
    <w:name w:val="样式 4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19">
    <w:name w:val="样式 4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0">
    <w:name w:val="样式 4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1">
    <w:name w:val="样式 4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2">
    <w:name w:val="样式 4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3">
    <w:name w:val="样式 4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4">
    <w:name w:val="样式 4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5">
    <w:name w:val="样式 4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6">
    <w:name w:val="样式 4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7">
    <w:name w:val="样式 4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8">
    <w:name w:val="样式 4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29">
    <w:name w:val="样式 4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0">
    <w:name w:val="样式 4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1">
    <w:name w:val="样式 4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2">
    <w:name w:val="样式 4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3">
    <w:name w:val="样式 4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4">
    <w:name w:val="样式 4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5">
    <w:name w:val="样式 4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6">
    <w:name w:val="样式 4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7">
    <w:name w:val="样式 4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8">
    <w:name w:val="样式 4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39">
    <w:name w:val="样式 4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0">
    <w:name w:val="样式 4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1">
    <w:name w:val="样式 4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2">
    <w:name w:val="样式 4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3">
    <w:name w:val="样式 4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4">
    <w:name w:val="样式 4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5">
    <w:name w:val="样式 4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6">
    <w:name w:val="样式 4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7">
    <w:name w:val="样式 4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8">
    <w:name w:val="样式 5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49">
    <w:name w:val="样式 5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0">
    <w:name w:val="样式 5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1">
    <w:name w:val="样式 5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2">
    <w:name w:val="样式 5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3">
    <w:name w:val="样式 5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4">
    <w:name w:val="样式 5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5">
    <w:name w:val="样式 5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6">
    <w:name w:val="样式 5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7">
    <w:name w:val="样式 5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8">
    <w:name w:val="样式 51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59">
    <w:name w:val="样式 51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0">
    <w:name w:val="样式 51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1">
    <w:name w:val="样式 51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2">
    <w:name w:val="样式 51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3">
    <w:name w:val="样式 51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4">
    <w:name w:val="样式 51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5">
    <w:name w:val="样式 51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6">
    <w:name w:val="样式 51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7">
    <w:name w:val="样式 51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8">
    <w:name w:val="样式 52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69">
    <w:name w:val="样式 52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0">
    <w:name w:val="样式 52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1">
    <w:name w:val="样式 52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2">
    <w:name w:val="样式 52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3">
    <w:name w:val="样式 52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4">
    <w:name w:val="样式 52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5">
    <w:name w:val="样式 52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6">
    <w:name w:val="样式 52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7">
    <w:name w:val="样式 52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8">
    <w:name w:val="样式 53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79">
    <w:name w:val="样式 53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0">
    <w:name w:val="样式 53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1">
    <w:name w:val="样式 53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2">
    <w:name w:val="样式 53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3">
    <w:name w:val="样式 53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4">
    <w:name w:val="样式 53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5">
    <w:name w:val="样式 53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6">
    <w:name w:val="样式 53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7">
    <w:name w:val="样式 53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8">
    <w:name w:val="样式 54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89">
    <w:name w:val="样式 54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0">
    <w:name w:val="样式 54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1">
    <w:name w:val="样式 54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2">
    <w:name w:val="样式 54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3">
    <w:name w:val="样式 54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4">
    <w:name w:val="样式 54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5">
    <w:name w:val="样式 54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6">
    <w:name w:val="样式 54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7">
    <w:name w:val="样式 54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8">
    <w:name w:val="样式 55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599">
    <w:name w:val="样式 55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0">
    <w:name w:val="样式 55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1">
    <w:name w:val="样式 55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2">
    <w:name w:val="样式 55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3">
    <w:name w:val="样式 55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4">
    <w:name w:val="样式 55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5">
    <w:name w:val="样式 55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6">
    <w:name w:val="样式 55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7">
    <w:name w:val="样式 55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8">
    <w:name w:val="样式 56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09">
    <w:name w:val="样式 56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0">
    <w:name w:val="样式 56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1">
    <w:name w:val="样式 56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2">
    <w:name w:val="样式 56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3">
    <w:name w:val="样式 56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4">
    <w:name w:val="样式 56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5">
    <w:name w:val="样式 56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6">
    <w:name w:val="样式 56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7">
    <w:name w:val="样式 56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8">
    <w:name w:val="样式 57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19">
    <w:name w:val="样式 57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0">
    <w:name w:val="样式 57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1">
    <w:name w:val="样式 57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2">
    <w:name w:val="样式 57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3">
    <w:name w:val="样式 57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4">
    <w:name w:val="样式 57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5">
    <w:name w:val="样式 57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6">
    <w:name w:val="样式 57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7">
    <w:name w:val="样式 57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8">
    <w:name w:val="样式 58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29">
    <w:name w:val="样式 58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0">
    <w:name w:val="样式 58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1">
    <w:name w:val="样式 58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2">
    <w:name w:val="样式 58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3">
    <w:name w:val="样式 58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4">
    <w:name w:val="样式 58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5">
    <w:name w:val="样式 58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6">
    <w:name w:val="样式 58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7">
    <w:name w:val="样式 58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8">
    <w:name w:val="样式 59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39">
    <w:name w:val="样式 59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0">
    <w:name w:val="样式 59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1">
    <w:name w:val="样式 59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2">
    <w:name w:val="样式 59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3">
    <w:name w:val="样式 59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4">
    <w:name w:val="样式 59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5">
    <w:name w:val="样式 59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6">
    <w:name w:val="样式 59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7">
    <w:name w:val="样式 59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8">
    <w:name w:val="样式 600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49">
    <w:name w:val="样式 601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0">
    <w:name w:val="样式 602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1">
    <w:name w:val="样式 603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2">
    <w:name w:val="样式 604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3">
    <w:name w:val="样式 605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4">
    <w:name w:val="样式 606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5">
    <w:name w:val="样式 607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6">
    <w:name w:val="样式 608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customStyle="1" w:styleId="657">
    <w:name w:val="样式 609 11 磅"/>
    <w:pPr>
      <w:spacing w:after="200" w:line="276" w:lineRule="auto"/>
    </w:pPr>
    <w:rPr>
      <w:rFonts w:ascii="Cambria" w:eastAsia="MS Mincho" w:cs="Arial" w:hAnsi="Cambria"/>
      <w:sz w:val="22"/>
      <w:szCs w:val="22"/>
      <w:lang w:val="en-US" w:eastAsia="en-US" w:bidi="ar-SA"/>
    </w:rPr>
  </w:style>
  <w:style w:type="paragraph" w:styleId="658">
    <w:name w:val="Balloon Text"/>
    <w:basedOn w:val="0"/>
    <w:pPr>
      <w:spacing w:after="0" w:line="240" w:lineRule="auto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44</TotalTime>
  <Application>Yozo_Office</Application>
  <Pages>7</Pages>
  <Words>1106</Words>
  <Characters>1254</Characters>
  <Lines>271</Lines>
  <Paragraphs>184</Paragraphs>
  <CharactersWithSpaces>1761</CharactersWithSpaces>
  <Company>LightPDF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LightPDF</dc:creator>
  <dc:description>generated by LightPDF 20230331</dc:description>
  <cp:lastModifiedBy>Microsoft</cp:lastModifiedBy>
  <cp:revision>3</cp:revision>
  <dcterms:created xsi:type="dcterms:W3CDTF">2023-08-10T07:41:00Z</dcterms:created>
  <dcterms:modified xsi:type="dcterms:W3CDTF">2023-08-22T01:48:55Z</dcterms:modified>
</cp:coreProperties>
</file>