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2160" w:right="0" w:hanging="360"/>
        <w:rPr>
          <w:rFonts w:ascii="宋体" w:cs="微软雅黑" w:hint="eastAsia"/>
          <w:b/>
          <w:bCs/>
          <w:sz w:val="28"/>
          <w:szCs w:val="21"/>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left="0"/>
        <w:jc w:val="left"/>
        <w:rPr>
          <w:rFonts w:ascii="宋体" w:cs="微软雅黑" w:hint="eastAsia"/>
          <w:color w:val="000000"/>
          <w:sz w:val="28"/>
          <w:szCs w:val="21"/>
        </w:rPr>
      </w:pPr>
      <w:r>
        <w:rPr>
          <w:rFonts w:ascii="宋体" w:cs="微软雅黑" w:hint="eastAsia"/>
          <w:b/>
          <w:bCs/>
          <w:color w:val="000000"/>
          <w:kern w:val="0"/>
          <w:sz w:val="28"/>
          <w:szCs w:val="21"/>
          <w:bdr w:val="none" w:sz="0" w:space="0" w:color="auto"/>
          <w:lang w:val="en-US" w:eastAsia="zh-CN"/>
        </w:rPr>
        <w:t>商品归类预裁定</w:t>
      </w:r>
      <w:r>
        <w:rPr>
          <w:rFonts w:ascii="宋体" w:cs="微软雅黑" w:hint="eastAsia"/>
          <w:color w:val="000000"/>
          <w:kern w:val="0"/>
          <w:sz w:val="28"/>
          <w:szCs w:val="21"/>
          <w:bdr w:val="none" w:sz="0" w:space="0" w:color="auto"/>
          <w:lang w:val="en-US" w:eastAsia="zh-CN"/>
        </w:rPr>
        <w:t xml:space="preserve"> </w:t>
      </w: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2160" w:right="0" w:hanging="360"/>
        <w:rPr>
          <w:rFonts w:ascii="宋体" w:cs="微软雅黑" w:hint="eastAsia"/>
          <w:b/>
          <w:bCs/>
          <w:sz w:val="28"/>
          <w:szCs w:val="21"/>
        </w:rPr>
      </w:pP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2160" w:right="0" w:hanging="360"/>
        <w:rPr>
          <w:rFonts w:ascii="宋体" w:cs="微软雅黑" w:hint="eastAsia"/>
          <w:b/>
          <w:bCs/>
          <w:sz w:val="28"/>
          <w:szCs w:val="21"/>
        </w:rPr>
      </w:pPr>
    </w:p>
    <w:p>
      <w:pPr>
        <w:pStyle w:val="17"/>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left="0"/>
        <w:rPr>
          <w:rFonts w:ascii="宋体" w:cs="微软雅黑" w:hint="eastAsia"/>
          <w:color w:val="000000"/>
          <w:sz w:val="28"/>
          <w:szCs w:val="21"/>
        </w:rPr>
      </w:pPr>
      <w:r>
        <w:rPr>
          <w:rStyle w:val="19"/>
          <w:rFonts w:ascii="宋体" w:cs="微软雅黑" w:hint="eastAsia"/>
          <w:b/>
          <w:bCs/>
          <w:color w:val="000000"/>
          <w:sz w:val="28"/>
          <w:szCs w:val="21"/>
          <w:bdr w:val="none" w:sz="0" w:space="0" w:color="auto"/>
        </w:rPr>
        <w:t>设定依据</w:t>
      </w:r>
      <w:r>
        <w:rPr>
          <w:rStyle w:val="19"/>
          <w:rFonts w:ascii="宋体" w:cs="微软雅黑" w:hint="eastAsia"/>
          <w:b/>
          <w:bCs/>
          <w:color w:val="000000"/>
          <w:sz w:val="28"/>
          <w:szCs w:val="21"/>
          <w:bdr w:val="none" w:sz="0" w:space="0" w:color="auto"/>
          <w:lang w:eastAsia="zh-CN"/>
        </w:rPr>
        <w:t>：</w:t>
      </w:r>
      <w:r>
        <w:rPr>
          <w:rFonts w:ascii="宋体" w:cs="微软雅黑" w:hint="eastAsia"/>
          <w:color w:val="000000"/>
          <w:kern w:val="0"/>
          <w:sz w:val="28"/>
          <w:szCs w:val="21"/>
          <w:bdr w:val="none" w:sz="0" w:space="0" w:color="auto"/>
          <w:lang w:val="en-US" w:eastAsia="zh-CN"/>
        </w:rPr>
        <w:t xml:space="preserve">《中华人民共和国海关预裁定管理暂行办法》，《海关总署关于实施〈中华人民共和国海关预裁定管理暂行办法〉有关事项的公告》。 </w:t>
      </w: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2160" w:right="0" w:hanging="360"/>
        <w:rPr>
          <w:rFonts w:ascii="宋体" w:cs="微软雅黑" w:hint="eastAsia"/>
          <w:b/>
          <w:bCs/>
          <w:sz w:val="28"/>
          <w:szCs w:val="21"/>
        </w:rPr>
      </w:pP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2160" w:right="0" w:hanging="360"/>
        <w:rPr>
          <w:rFonts w:ascii="宋体" w:cs="微软雅黑" w:hint="eastAsia"/>
          <w:b/>
          <w:bCs/>
          <w:sz w:val="28"/>
          <w:szCs w:val="21"/>
        </w:rPr>
      </w:pPr>
    </w:p>
    <w:p>
      <w:pPr>
        <w:pStyle w:val="17"/>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right="0" w:firstLine="0"/>
        <w:rPr>
          <w:rFonts w:ascii="宋体" w:cs="微软雅黑"/>
          <w:color w:val="000000"/>
          <w:kern w:val="0"/>
          <w:sz w:val="28"/>
          <w:szCs w:val="21"/>
          <w:bdr w:val="none" w:sz="0" w:space="0" w:color="auto"/>
          <w:lang w:val="en-US" w:eastAsia="zh-CN"/>
        </w:rPr>
      </w:pPr>
      <w:r>
        <w:rPr>
          <w:rStyle w:val="19"/>
          <w:rFonts w:ascii="宋体" w:cs="微软雅黑" w:hint="eastAsia"/>
          <w:b/>
          <w:bCs/>
          <w:color w:val="000000"/>
          <w:sz w:val="28"/>
          <w:szCs w:val="21"/>
          <w:bdr w:val="none" w:sz="0" w:space="0" w:color="auto"/>
        </w:rPr>
        <w:t>实施机构</w:t>
      </w:r>
      <w:r>
        <w:rPr>
          <w:rStyle w:val="19"/>
          <w:rFonts w:ascii="宋体" w:cs="微软雅黑" w:hint="eastAsia"/>
          <w:b/>
          <w:bCs/>
          <w:color w:val="000000"/>
          <w:sz w:val="28"/>
          <w:szCs w:val="21"/>
          <w:bdr w:val="none" w:sz="0" w:space="0" w:color="auto"/>
          <w:lang w:eastAsia="zh-CN"/>
        </w:rPr>
        <w:t>：</w:t>
      </w:r>
      <w:r>
        <w:rPr>
          <w:rFonts w:ascii="宋体" w:cs="微软雅黑" w:hint="eastAsia"/>
          <w:color w:val="000000"/>
          <w:kern w:val="0"/>
          <w:sz w:val="28"/>
          <w:szCs w:val="21"/>
          <w:bdr w:val="none" w:sz="0" w:space="0" w:color="auto"/>
          <w:lang w:val="en-US" w:eastAsia="zh-CN"/>
        </w:rPr>
        <w:t xml:space="preserve">各直属海关关税职能部门 </w:t>
      </w:r>
    </w:p>
    <w:p>
      <w:pPr>
        <w:pStyle w:val="126"/>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0" w:right="0" w:firstLine="0"/>
        <w:rPr>
          <w:rFonts w:ascii="宋体" w:cs="微软雅黑" w:hint="eastAsia"/>
          <w:b/>
          <w:bCs/>
          <w:sz w:val="28"/>
          <w:szCs w:val="21"/>
        </w:rPr>
      </w:pPr>
    </w:p>
    <w:p>
      <w:pPr>
        <w:pStyle w:val="126"/>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0" w:right="0" w:firstLine="0"/>
        <w:rPr>
          <w:rFonts w:ascii="宋体" w:cs="微软雅黑" w:hint="eastAsia"/>
          <w:b/>
          <w:bCs/>
          <w:sz w:val="28"/>
          <w:szCs w:val="21"/>
        </w:rPr>
      </w:pPr>
    </w:p>
    <w:p>
      <w:pPr>
        <w:pStyle w:val="127"/>
        <w:keepNext w:val="0"/>
        <w:keepLines w:val="0"/>
        <w:widowControl/>
        <w:suppressLineNumbers w:val="0"/>
        <w:pBdr>
          <w:top w:val="none" w:sz="0" w:space="0" w:color="auto"/>
          <w:left w:val="none" w:sz="0" w:space="0" w:color="auto"/>
          <w:bottom w:val="none" w:sz="0" w:space="0" w:color="auto"/>
          <w:right w:val="none" w:sz="0" w:space="0" w:color="auto"/>
        </w:pBdr>
        <w:spacing w:line="560" w:lineRule="exact"/>
        <w:ind w:firstLine="0"/>
        <w:rPr>
          <w:rFonts w:ascii="宋体" w:cs="微软雅黑" w:hint="eastAsia"/>
          <w:color w:val="000000"/>
          <w:sz w:val="28"/>
          <w:szCs w:val="21"/>
        </w:rPr>
      </w:pPr>
      <w:r>
        <w:rPr>
          <w:rStyle w:val="128Char"/>
          <w:rFonts w:ascii="宋体" w:cs="微软雅黑" w:hint="eastAsia"/>
          <w:b/>
          <w:bCs/>
          <w:color w:val="000000"/>
          <w:sz w:val="28"/>
          <w:szCs w:val="21"/>
          <w:bdr w:val="none" w:sz="0" w:space="0" w:color="auto"/>
        </w:rPr>
        <w:t>办理</w:t>
      </w:r>
      <w:r>
        <w:rPr>
          <w:rStyle w:val="128Char"/>
          <w:rFonts w:ascii="宋体" w:cs="微软雅黑"/>
          <w:b/>
          <w:bCs/>
          <w:color w:val="000000"/>
          <w:sz w:val="28"/>
          <w:szCs w:val="21"/>
          <w:bdr w:val="none" w:sz="0" w:space="0" w:color="auto"/>
        </w:rPr>
        <w:t>方式</w:t>
      </w:r>
      <w:r>
        <w:rPr>
          <w:rStyle w:val="128Char"/>
          <w:rFonts w:ascii="宋体" w:cs="微软雅黑" w:hint="eastAsia"/>
          <w:b/>
          <w:bCs/>
          <w:color w:val="000000"/>
          <w:sz w:val="28"/>
          <w:szCs w:val="21"/>
          <w:bdr w:val="none" w:sz="0" w:space="0" w:color="auto"/>
          <w:lang w:eastAsia="zh-CN"/>
        </w:rPr>
        <w:t>：</w:t>
      </w:r>
      <w:r>
        <w:rPr>
          <w:rStyle w:val="128Char"/>
          <w:rFonts w:ascii="宋体" w:cs="微软雅黑"/>
          <w:color w:val="000000"/>
          <w:sz w:val="28"/>
          <w:szCs w:val="21"/>
          <w:bdr w:val="none" w:sz="0" w:space="0" w:color="auto"/>
          <w:lang w:eastAsia="zh-CN"/>
        </w:rPr>
        <w:t>网上办理，</w:t>
      </w:r>
      <w:r>
        <w:rPr>
          <w:rFonts w:ascii="宋体" w:cs="微软雅黑" w:hint="eastAsia"/>
          <w:color w:val="000000"/>
          <w:kern w:val="0"/>
          <w:sz w:val="28"/>
          <w:szCs w:val="21"/>
          <w:bdr w:val="none" w:sz="0" w:space="0" w:color="auto"/>
          <w:lang w:val="en-US" w:eastAsia="zh-CN"/>
        </w:rPr>
        <w:t xml:space="preserve">电子口岸“海关事务联系系统”（QP系统）或“互联网+海关” </w:t>
      </w:r>
      <w:bookmarkStart w:id="0" w:name="_GoBack"/>
      <w:bookmarkEnd w:id="0"/>
    </w:p>
    <w:p>
      <w:pPr>
        <w:pStyle w:val="17"/>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right="0" w:firstLine="0"/>
        <w:rPr>
          <w:rFonts w:ascii="宋体" w:cs="微软雅黑" w:hint="eastAsia"/>
          <w:sz w:val="28"/>
          <w:szCs w:val="21"/>
        </w:rPr>
      </w:pPr>
      <w:r>
        <w:rPr>
          <w:rStyle w:val="19"/>
          <w:rFonts w:ascii="宋体" w:cs="微软雅黑"/>
          <w:b/>
          <w:bCs/>
          <w:color w:val="000000"/>
          <w:sz w:val="28"/>
          <w:szCs w:val="21"/>
          <w:bdr w:val="none" w:sz="0" w:space="0" w:color="auto"/>
        </w:rPr>
        <w:t>办理</w:t>
      </w:r>
      <w:r>
        <w:rPr>
          <w:rStyle w:val="19"/>
          <w:rFonts w:ascii="宋体" w:cs="微软雅黑" w:hint="eastAsia"/>
          <w:b/>
          <w:bCs/>
          <w:color w:val="000000"/>
          <w:sz w:val="28"/>
          <w:szCs w:val="21"/>
          <w:bdr w:val="none" w:sz="0" w:space="0" w:color="auto"/>
        </w:rPr>
        <w:t>时限</w:t>
      </w:r>
      <w:r>
        <w:rPr>
          <w:rStyle w:val="19"/>
          <w:rFonts w:ascii="宋体" w:cs="微软雅黑" w:hint="eastAsia"/>
          <w:b/>
          <w:bCs/>
          <w:color w:val="000000"/>
          <w:sz w:val="28"/>
          <w:szCs w:val="21"/>
          <w:bdr w:val="none" w:sz="0" w:space="0" w:color="auto"/>
          <w:lang w:eastAsia="zh-CN"/>
        </w:rPr>
        <w:t>：</w:t>
      </w:r>
      <w:r>
        <w:rPr>
          <w:rFonts w:ascii="宋体" w:cs="微软雅黑" w:hint="eastAsia"/>
          <w:color w:val="000000"/>
          <w:sz w:val="28"/>
          <w:szCs w:val="21"/>
          <w:bdr w:val="none" w:sz="0" w:space="0" w:color="auto"/>
        </w:rPr>
        <w:t xml:space="preserve"> </w:t>
      </w: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0" w:right="0" w:firstLine="0"/>
        <w:rPr>
          <w:rFonts w:ascii="宋体" w:cs="微软雅黑" w:hint="eastAsia"/>
          <w:sz w:val="28"/>
          <w:szCs w:val="21"/>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left="0"/>
        <w:jc w:val="left"/>
        <w:rPr>
          <w:rFonts w:ascii="宋体" w:cs="微软雅黑" w:hint="eastAsia"/>
          <w:color w:val="000000"/>
          <w:sz w:val="28"/>
          <w:szCs w:val="21"/>
        </w:rPr>
      </w:pPr>
      <w:r>
        <w:rPr>
          <w:rFonts w:ascii="宋体" w:cs="微软雅黑" w:hint="eastAsia"/>
          <w:color w:val="000000"/>
          <w:kern w:val="0"/>
          <w:sz w:val="28"/>
          <w:szCs w:val="21"/>
          <w:bdr w:val="none" w:sz="0" w:space="0" w:color="auto"/>
          <w:lang w:val="en-US" w:eastAsia="zh-CN"/>
        </w:rPr>
        <w:t xml:space="preserve">（一）海关应当自收到《预裁定申请书》以及相关材料之日起10日内审核决定是否受理该申请。 </w:t>
        <w:br/>
        <w:t xml:space="preserve">（二）海关应当自受理之日起60日内制发《预裁定决定书》。 </w:t>
      </w:r>
    </w:p>
    <w:p>
      <w:pPr>
        <w:pStyle w:val="17"/>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left="0" w:right="0"/>
        <w:rPr>
          <w:rFonts w:ascii="宋体" w:cs="微软雅黑" w:hint="eastAsia"/>
          <w:b/>
          <w:bCs/>
          <w:sz w:val="28"/>
          <w:szCs w:val="21"/>
        </w:rPr>
      </w:pPr>
      <w:r>
        <w:rPr>
          <w:rStyle w:val="19"/>
          <w:rFonts w:ascii="宋体" w:cs="微软雅黑" w:hint="eastAsia"/>
          <w:b/>
          <w:bCs/>
          <w:color w:val="000000"/>
          <w:sz w:val="28"/>
          <w:szCs w:val="21"/>
          <w:bdr w:val="none" w:sz="0" w:space="0" w:color="auto"/>
        </w:rPr>
        <w:t>办理流程</w:t>
      </w:r>
      <w:r>
        <w:rPr>
          <w:rFonts w:ascii="宋体" w:cs="微软雅黑"/>
          <w:b/>
          <w:bCs/>
          <w:color w:val="000000"/>
          <w:sz w:val="28"/>
          <w:szCs w:val="21"/>
          <w:bdr w:val="none" w:sz="0" w:space="0" w:color="auto"/>
        </w:rPr>
        <w:t>：</w:t>
      </w: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0" w:right="0" w:firstLine="0"/>
        <w:rPr>
          <w:rFonts w:ascii="宋体" w:cs="微软雅黑" w:hint="eastAsia"/>
          <w:sz w:val="28"/>
          <w:szCs w:val="21"/>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right="0" w:firstLine="0"/>
        <w:jc w:val="left"/>
        <w:rPr>
          <w:rFonts w:ascii="宋体" w:cs="微软雅黑"/>
          <w:color w:val="000000"/>
          <w:kern w:val="0"/>
          <w:sz w:val="28"/>
          <w:szCs w:val="21"/>
          <w:bdr w:val="none" w:sz="0" w:space="0" w:color="auto"/>
          <w:lang w:val="en-US" w:eastAsia="zh-CN"/>
        </w:rPr>
      </w:pPr>
      <w:r>
        <w:rPr>
          <w:rFonts w:ascii="宋体" w:cs="微软雅黑" w:hint="eastAsia"/>
          <w:color w:val="000000"/>
          <w:kern w:val="0"/>
          <w:sz w:val="28"/>
          <w:szCs w:val="21"/>
          <w:bdr w:val="none" w:sz="0" w:space="0" w:color="auto"/>
          <w:lang w:val="en-US" w:eastAsia="zh-CN"/>
        </w:rPr>
        <w:t xml:space="preserve">（一）申请人应当在货物拟进出口3个月之前向其注册地直属海关提出预裁定申请。特殊情况下，申请人确有正当理由的，可以在货物拟进出口前3个月内提出预裁定申请。 </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right="0" w:firstLine="0"/>
        <w:jc w:val="left"/>
        <w:rPr>
          <w:rFonts w:ascii="宋体" w:cs="微软雅黑"/>
          <w:color w:val="000000"/>
          <w:kern w:val="0"/>
          <w:sz w:val="28"/>
          <w:szCs w:val="21"/>
          <w:bdr w:val="none" w:sz="0" w:space="0" w:color="auto"/>
          <w:lang w:val="en-US" w:eastAsia="zh-CN"/>
        </w:rPr>
      </w:pPr>
      <w:r>
        <w:rPr>
          <w:rFonts w:ascii="宋体" w:cs="微软雅黑" w:hint="eastAsia"/>
          <w:color w:val="000000"/>
          <w:kern w:val="0"/>
          <w:sz w:val="28"/>
          <w:szCs w:val="21"/>
          <w:bdr w:val="none" w:sz="0" w:space="0" w:color="auto"/>
          <w:lang w:val="en-US" w:eastAsia="zh-CN"/>
        </w:rPr>
        <w:t xml:space="preserve">（二）海关应当自收到《预裁定申请书》以及相关材料之日起10日内审核决定是否受理该申请。申请材料不符合有关规定的，海关应当在决定是否受理前一次性告知申请人在规定期限内进行补正。 </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right="0" w:firstLine="0"/>
        <w:jc w:val="left"/>
        <w:rPr>
          <w:rFonts w:ascii="宋体" w:cs="微软雅黑" w:hint="eastAsia"/>
          <w:color w:val="000000"/>
          <w:sz w:val="28"/>
          <w:szCs w:val="21"/>
        </w:rPr>
      </w:pPr>
      <w:r>
        <w:rPr>
          <w:rFonts w:ascii="宋体" w:cs="微软雅黑" w:hint="eastAsia"/>
          <w:color w:val="000000"/>
          <w:kern w:val="0"/>
          <w:sz w:val="28"/>
          <w:szCs w:val="21"/>
          <w:bdr w:val="none" w:sz="0" w:space="0" w:color="auto"/>
          <w:lang w:val="en-US" w:eastAsia="zh-CN"/>
        </w:rPr>
        <w:t xml:space="preserve">（三）海关对申请人申请预裁定的海关事务应当依据有关法律、行政法规、海关规章以及海关总署公告作出预裁定决定。海关应当自受理之日起60日内制发《预裁定决定书》。需要通过化验、检测、鉴定、专家论证或者其他方式确定有关情况的，所需时间不计入本条规定的期限内。 </w:t>
      </w: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0" w:right="0" w:firstLine="0"/>
        <w:rPr>
          <w:rFonts w:ascii="宋体" w:cs="微软雅黑" w:hint="eastAsia"/>
          <w:b/>
          <w:bCs/>
          <w:sz w:val="28"/>
          <w:szCs w:val="21"/>
        </w:rPr>
      </w:pP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0" w:right="0" w:firstLine="0"/>
        <w:rPr>
          <w:rFonts w:ascii="宋体" w:cs="微软雅黑" w:hint="eastAsia"/>
          <w:b/>
          <w:bCs/>
          <w:sz w:val="28"/>
          <w:szCs w:val="21"/>
        </w:rPr>
      </w:pPr>
    </w:p>
    <w:p>
      <w:pPr>
        <w:pStyle w:val="17"/>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right="0" w:firstLine="0"/>
        <w:rPr>
          <w:rFonts w:ascii="宋体" w:cs="微软雅黑" w:hint="eastAsia"/>
          <w:sz w:val="28"/>
          <w:szCs w:val="21"/>
        </w:rPr>
      </w:pPr>
      <w:r>
        <w:rPr>
          <w:rStyle w:val="19"/>
          <w:rFonts w:ascii="宋体" w:cs="微软雅黑" w:hint="eastAsia"/>
          <w:b/>
          <w:bCs/>
          <w:color w:val="000000"/>
          <w:sz w:val="28"/>
          <w:szCs w:val="21"/>
          <w:bdr w:val="none" w:sz="0" w:space="0" w:color="auto"/>
        </w:rPr>
        <w:t>审查标准</w:t>
      </w:r>
      <w:r>
        <w:rPr>
          <w:rStyle w:val="19"/>
          <w:rFonts w:ascii="宋体" w:cs="微软雅黑"/>
          <w:b/>
          <w:bCs/>
          <w:color w:val="000000"/>
          <w:sz w:val="28"/>
          <w:szCs w:val="21"/>
          <w:bdr w:val="none" w:sz="0" w:space="0" w:color="auto"/>
        </w:rPr>
        <w:t>：</w:t>
      </w:r>
      <w:r>
        <w:rPr>
          <w:rFonts w:ascii="宋体" w:cs="微软雅黑" w:hint="eastAsia"/>
          <w:color w:val="000000"/>
          <w:sz w:val="28"/>
          <w:szCs w:val="21"/>
          <w:bdr w:val="none" w:sz="0" w:space="0" w:color="auto"/>
        </w:rPr>
        <w:t xml:space="preserve"> </w:t>
      </w: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0" w:right="0" w:firstLine="0"/>
        <w:rPr>
          <w:rFonts w:ascii="宋体" w:cs="微软雅黑" w:hint="eastAsia"/>
          <w:sz w:val="28"/>
          <w:szCs w:val="21"/>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after="0" w:line="560" w:lineRule="exact"/>
        <w:ind w:right="0" w:firstLine="0"/>
        <w:jc w:val="left"/>
        <w:rPr>
          <w:rFonts w:ascii="宋体" w:cs="微软雅黑" w:hint="eastAsia"/>
          <w:color w:val="000000"/>
          <w:sz w:val="28"/>
          <w:szCs w:val="21"/>
        </w:rPr>
      </w:pPr>
      <w:r>
        <w:rPr>
          <w:rFonts w:ascii="宋体" w:cs="微软雅黑" w:hint="eastAsia"/>
          <w:color w:val="000000"/>
          <w:kern w:val="0"/>
          <w:sz w:val="28"/>
          <w:szCs w:val="21"/>
          <w:bdr w:val="none" w:sz="0" w:space="0" w:color="auto"/>
          <w:lang w:val="en-US" w:eastAsia="zh-CN"/>
        </w:rPr>
        <w:t xml:space="preserve">（一）预裁定的申请人应当是进口货物收货人或出口货物发货人。 申请人应当在货物拟进出口3个月之前向其注册地直属海关提出预裁定申请。特殊情况下，申请人确有正当理由的，可以在货物拟进出口前3个月内提出预裁定申请。 </w:t>
        <w:br/>
        <w:t xml:space="preserve">（二）申请人申请商品归类预裁定的，应当按要求填写并且提交《预裁定申请书》及保密声明。 </w:t>
        <w:br/>
        <w:t xml:space="preserve">（三）海关应当自收到《预裁定申请书》以及相关材料之日起10日内审核决定是否受理该申请。 </w:t>
        <w:br/>
        <w:t xml:space="preserve">有下列情形之一的，海关应当作出不予受理决定，并且说明理由： </w:t>
        <w:br/>
        <w:t xml:space="preserve">1.申请不符合《中华人民共和国海关预裁定管理暂行办法》第三条、第四条、第五条或者第七条规定的； </w:t>
        <w:br/>
        <w:t xml:space="preserve">2.海关规章、海关总署公告已经对申请预裁定的海关事务有明确规定的； </w:t>
        <w:br/>
        <w:t xml:space="preserve">3.申请人就同一事项已经提出预裁定申请并且被受理的。 </w:t>
        <w:br/>
        <w:t xml:space="preserve">（四）海关应当自受理之日起60日内制发《预裁定决定书》。 </w:t>
        <w:br/>
        <w:t xml:space="preserve">有下列情形之一的，海关可以终止预裁定： </w:t>
        <w:br/>
        <w:t xml:space="preserve">1.申请人在预裁定决定作出前以书面方式向海关申明撤回其申请，海关同意撤回的； </w:t>
        <w:br/>
        <w:t xml:space="preserve">2.申请人未按照海关要求提供有关材料或者样品的； </w:t>
        <w:br/>
        <w:t xml:space="preserve">3.由于申请人原因致使预裁定决定未能在规定的期限内作出的。 </w:t>
      </w:r>
    </w:p>
    <w:p>
      <w:pPr>
        <w:pStyle w:val="18"/>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after="0" w:line="560" w:lineRule="exact"/>
        <w:ind w:left="2160" w:right="0" w:hanging="360"/>
        <w:rPr>
          <w:rFonts w:ascii="宋体" w:cs="微软雅黑" w:hint="eastAsia"/>
          <w:sz w:val="28"/>
          <w:szCs w:val="21"/>
        </w:rPr>
      </w:pPr>
    </w:p>
    <w:p>
      <w:pPr>
        <w:spacing w:line="560" w:lineRule="exact"/>
        <w:rPr>
          <w:rFonts w:ascii="宋体"/>
          <w:sz w:val="28"/>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微软雅黑">
    <w:panose1 w:val="020B0503020204020204"/>
    <w:charset w:val="86"/>
    <w:family w:val="auto"/>
    <w:pitch w:val="variable"/>
    <w:sig w:usb0="80000287" w:usb1="280F3C52" w:usb2="00000016" w:usb3="00000000" w:csb0="0004001F"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BFAAA0C3"/>
    <w:multiLevelType w:val="multilevel"/>
    <w:tmpl w:val="BFAAA0C3"/>
    <w:lvl w:ilvl="0">
      <w:start w:val="1"/>
      <w:numFmt w:val="bullet"/>
      <w:lvlRestart w:val="0"/>
      <w:lvlText w:val=""/>
      <w:lvlJc w:val="left"/>
      <w:pPr>
        <w:tabs>
          <w:tab w:val="num" w:pos="0"/>
        </w:tabs>
        <w:ind w:left="720" w:hanging="360"/>
      </w:pPr>
      <w:rPr>
        <w:rFonts w:ascii="Symbol" w:hAnsi="Symbol" w:cs="Symbol" w:hint="default"/>
        <w:sz w:val="20"/>
      </w:rPr>
    </w:lvl>
    <w:lvl w:ilvl="1">
      <w:start w:val="1"/>
      <w:numFmt w:val="bullet"/>
      <w:lvlText w:val=""/>
      <w:lvlJc w:val="left"/>
      <w:pPr>
        <w:tabs>
          <w:tab w:val="num" w:pos="0"/>
        </w:tabs>
        <w:ind w:left="1440" w:hanging="360"/>
      </w:pPr>
      <w:rPr>
        <w:rFonts w:ascii="Symbol" w:hAnsi="Symbol" w:cs="Symbol" w:hint="default"/>
        <w:sz w:val="20"/>
      </w:rPr>
    </w:lvl>
    <w:lvl w:ilvl="2">
      <w:start w:val="1"/>
      <w:numFmt w:val="bullet"/>
      <w:lvlText w:val=""/>
      <w:lvlJc w:val="left"/>
      <w:pPr>
        <w:tabs>
          <w:tab w:val="num" w:pos="0"/>
        </w:tabs>
        <w:ind w:left="2160" w:hanging="360"/>
      </w:pPr>
      <w:rPr>
        <w:rFonts w:ascii="Symbol" w:hAnsi="Symbol" w:cs="Symbol" w:hint="default"/>
        <w:sz w:val="20"/>
      </w:rPr>
    </w:lvl>
    <w:lvl w:ilvl="3">
      <w:start w:val="1"/>
      <w:numFmt w:val="bullet"/>
      <w:lvlText w:val=""/>
      <w:lvlJc w:val="left"/>
      <w:pPr>
        <w:tabs>
          <w:tab w:val="num" w:pos="0"/>
        </w:tabs>
        <w:ind w:left="2880" w:hanging="360"/>
      </w:pPr>
      <w:rPr>
        <w:rFonts w:ascii="Symbol" w:hAnsi="Symbol" w:cs="Symbol" w:hint="default"/>
        <w:sz w:val="20"/>
      </w:rPr>
    </w:lvl>
    <w:lvl w:ilvl="4">
      <w:start w:val="1"/>
      <w:numFmt w:val="bullet"/>
      <w:lvlText w:val=""/>
      <w:lvlJc w:val="left"/>
      <w:pPr>
        <w:tabs>
          <w:tab w:val="num" w:pos="0"/>
        </w:tabs>
        <w:ind w:left="3600" w:hanging="360"/>
      </w:pPr>
      <w:rPr>
        <w:rFonts w:ascii="Symbol" w:hAnsi="Symbol" w:cs="Symbol" w:hint="default"/>
        <w:sz w:val="20"/>
      </w:rPr>
    </w:lvl>
    <w:lvl w:ilvl="5">
      <w:start w:val="1"/>
      <w:numFmt w:val="bullet"/>
      <w:lvlText w:val=""/>
      <w:lvlJc w:val="left"/>
      <w:pPr>
        <w:tabs>
          <w:tab w:val="num" w:pos="0"/>
        </w:tabs>
        <w:ind w:left="4320" w:hanging="360"/>
      </w:pPr>
      <w:rPr>
        <w:rFonts w:ascii="Symbol" w:hAnsi="Symbol" w:cs="Symbol" w:hint="default"/>
        <w:sz w:val="20"/>
      </w:rPr>
    </w:lvl>
    <w:lvl w:ilvl="6">
      <w:start w:val="1"/>
      <w:numFmt w:val="bullet"/>
      <w:lvlText w:val=""/>
      <w:lvlJc w:val="left"/>
      <w:pPr>
        <w:tabs>
          <w:tab w:val="num" w:pos="0"/>
        </w:tabs>
        <w:ind w:left="5040" w:hanging="360"/>
      </w:pPr>
      <w:rPr>
        <w:rFonts w:ascii="Symbol" w:hAnsi="Symbol" w:cs="Symbol" w:hint="default"/>
        <w:sz w:val="20"/>
      </w:rPr>
    </w:lvl>
    <w:lvl w:ilvl="7">
      <w:start w:val="1"/>
      <w:numFmt w:val="bullet"/>
      <w:lvlText w:val=""/>
      <w:lvlJc w:val="left"/>
      <w:pPr>
        <w:tabs>
          <w:tab w:val="num" w:pos="0"/>
        </w:tabs>
        <w:ind w:left="5760" w:hanging="360"/>
      </w:pPr>
      <w:rPr>
        <w:rFonts w:ascii="Symbol" w:hAnsi="Symbol" w:cs="Symbol" w:hint="default"/>
        <w:sz w:val="20"/>
      </w:rPr>
    </w:lvl>
    <w:lvl w:ilvl="8">
      <w:start w:val="1"/>
      <w:numFmt w:val="bullet"/>
      <w:lvlText w:val=""/>
      <w:lvlJc w:val="left"/>
      <w:pPr>
        <w:tabs>
          <w:tab w:val="num" w:pos="0"/>
        </w:tabs>
        <w:ind w:left="6480" w:hanging="360"/>
      </w:pPr>
      <w:rPr>
        <w:rFonts w:ascii="Symbol" w:hAnsi="Symbol" w:cs="Symbol" w:hint="default"/>
        <w:sz w:val="20"/>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character" w:styleId="15">
    <w:name w:val="FollowedHyperlink"/>
    <w:basedOn w:val="10"/>
    <w:rPr>
      <w:rFonts w:ascii="微软雅黑" w:eastAsia="微软雅黑" w:cs="微软雅黑"/>
      <w:color w:val="333333"/>
      <w:sz w:val="21"/>
      <w:szCs w:val="21"/>
      <w:u w:val="none"/>
      <w:bdr w:val="none" w:sz="0" w:space="0" w:color="auto"/>
    </w:rPr>
  </w:style>
  <w:style w:type="character" w:styleId="16">
    <w:name w:val="Hyperlink"/>
    <w:basedOn w:val="10"/>
    <w:rPr>
      <w:color w:val="2359A2"/>
      <w:bdr w:val="none" w:sz="0" w:space="0" w:color="auto"/>
    </w:rPr>
  </w:style>
  <w:style w:type="paragraph" w:customStyle="1" w:styleId="17">
    <w:name w:val="fl"/>
    <w:basedOn w:val="0"/>
    <w:pPr>
      <w:jc w:val="left"/>
    </w:pPr>
    <w:rPr>
      <w:kern w:val="0"/>
      <w:lang w:val="en-US" w:eastAsia="zh-CN"/>
    </w:rPr>
  </w:style>
  <w:style w:type="paragraph" w:customStyle="1" w:styleId="18">
    <w:name w:val="li"/>
    <w:basedOn w:val="0"/>
    <w:pPr>
      <w:jc w:val="left"/>
    </w:pPr>
    <w:rPr>
      <w:vanish/>
      <w:kern w:val="0"/>
      <w:lang w:val="en-US" w:eastAsia="zh-CN"/>
    </w:rPr>
  </w:style>
  <w:style w:type="character" w:customStyle="1" w:styleId="19">
    <w:name w:val="fl1"/>
    <w:basedOn w:val="10"/>
  </w:style>
  <w:style w:type="paragraph" w:customStyle="1" w:styleId="126">
    <w:name w:val="样式 10 磅"/>
    <w:pPr>
      <w:widowControl w:val="0"/>
      <w:jc w:val="left"/>
    </w:pPr>
    <w:rPr>
      <w:rFonts w:ascii="Calibri" w:eastAsia="宋体" w:cs="Arial" w:hAnsi="Calibri"/>
      <w:vanish/>
      <w:kern w:val="0"/>
      <w:sz w:val="21"/>
      <w:szCs w:val="24"/>
      <w:lang w:val="en-US" w:eastAsia="zh-CN" w:bidi="ar-SA"/>
    </w:rPr>
  </w:style>
  <w:style w:type="paragraph" w:customStyle="1" w:styleId="127">
    <w:name w:val="样式 1 10 磅"/>
    <w:pPr>
      <w:widowControl w:val="0"/>
      <w:jc w:val="left"/>
    </w:pPr>
    <w:rPr>
      <w:rFonts w:ascii="Calibri" w:eastAsia="宋体" w:cs="Arial" w:hAnsi="Calibri"/>
      <w:kern w:val="0"/>
      <w:sz w:val="21"/>
      <w:szCs w:val="24"/>
      <w:lang w:val="en-US" w:eastAsia="zh-CN" w:bidi="ar-SA"/>
    </w:rPr>
  </w:style>
  <w:style w:type="paragraph" w:customStyle="1" w:styleId="128">
    <w:name w:val="样式 "/>
    <w:link w:val="128Char"/>
  </w:style>
  <w:style w:type="character" w:customStyle="1" w:styleId="128Char">
    <w:name w:val="样式  Char"/>
    <w:basedOn w:val="10"/>
    <w:link w:val="128"/>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34</TotalTime>
  <Application>Yozo_Office</Application>
  <Pages>2</Pages>
  <Words>929</Words>
  <Characters>973</Characters>
  <Lines>44</Lines>
  <Paragraphs>12</Paragraphs>
  <CharactersWithSpaces>1022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cqxl</dc:creator>
  <cp:lastModifiedBy>向小禄</cp:lastModifiedBy>
  <cp:revision>1</cp:revision>
  <dcterms:created xsi:type="dcterms:W3CDTF">2019-10-22T02:06:00Z</dcterms:created>
  <dcterms:modified xsi:type="dcterms:W3CDTF">2019-10-22T02:45:43Z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2052-11.1.0.9145</vt:lpwstr>
  </property>
</Properties>
</file>