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eastAsia="黑体"/>
          <w:b/>
          <w:sz w:val="36"/>
          <w:szCs w:val="36"/>
        </w:rPr>
      </w:pPr>
    </w:p>
    <w:p>
      <w:pPr>
        <w:jc w:val="center"/>
        <w:rPr>
          <w:rFonts w:eastAsia="黑体"/>
          <w:b/>
          <w:sz w:val="36"/>
          <w:szCs w:val="36"/>
        </w:rPr>
      </w:pPr>
    </w:p>
    <w:p>
      <w:pPr>
        <w:jc w:val="center"/>
        <w:rPr>
          <w:rFonts w:eastAsia="黑体"/>
          <w:b/>
          <w:sz w:val="36"/>
          <w:szCs w:val="36"/>
        </w:rPr>
      </w:pPr>
    </w:p>
    <w:p>
      <w:pPr>
        <w:ind w:left="217" w:hangingChars="68" w:hanging="217"/>
        <w:jc w:val="center"/>
        <w:rPr>
          <w:b/>
          <w:sz w:val="32"/>
          <w:szCs w:val="32"/>
        </w:rPr>
      </w:pPr>
      <w:r>
        <w:rPr>
          <w:rFonts w:hint="eastAsia"/>
          <w:b/>
          <w:sz w:val="32"/>
          <w:szCs w:val="32"/>
        </w:rPr>
        <w:t>重庆江北机场海关</w:t>
      </w:r>
      <w:r>
        <w:rPr>
          <w:b/>
          <w:sz w:val="32"/>
          <w:szCs w:val="32"/>
        </w:rPr>
        <w:t>手持式X荧光光谱仪采购项目（第二次）</w:t>
      </w:r>
    </w:p>
    <w:p>
      <w:pPr>
        <w:jc w:val="center"/>
        <w:rPr>
          <w:rFonts w:eastAsia="黑体"/>
          <w:b/>
          <w:sz w:val="36"/>
          <w:szCs w:val="36"/>
        </w:rPr>
      </w:pPr>
    </w:p>
    <w:p>
      <w:pPr>
        <w:jc w:val="center"/>
        <w:rPr>
          <w:sz w:val="32"/>
        </w:rPr>
      </w:pPr>
    </w:p>
    <w:p>
      <w:pPr>
        <w:jc w:val="center"/>
        <w:rPr>
          <w:rFonts w:ascii="宋体"/>
          <w:b/>
          <w:sz w:val="82"/>
        </w:rPr>
      </w:pPr>
      <w:r>
        <w:rPr>
          <w:rFonts w:ascii="宋体" w:hint="eastAsia"/>
          <w:b/>
          <w:sz w:val="82"/>
        </w:rPr>
        <w:t>比</w:t>
      </w:r>
      <w:r>
        <w:rPr>
          <w:rFonts w:ascii="宋体"/>
          <w:b/>
          <w:sz w:val="82"/>
        </w:rPr>
        <w:t xml:space="preserve"> </w:t>
      </w:r>
      <w:r>
        <w:rPr>
          <w:rFonts w:ascii="宋体" w:hint="eastAsia"/>
          <w:b/>
          <w:sz w:val="82"/>
        </w:rPr>
        <w:t>选</w:t>
      </w:r>
      <w:r>
        <w:rPr>
          <w:rFonts w:ascii="宋体"/>
          <w:b/>
          <w:sz w:val="82"/>
        </w:rPr>
        <w:t xml:space="preserve"> </w:t>
      </w:r>
      <w:r>
        <w:rPr>
          <w:rFonts w:ascii="宋体" w:hint="eastAsia"/>
          <w:b/>
          <w:sz w:val="82"/>
        </w:rPr>
        <w:t>文</w:t>
      </w:r>
      <w:r>
        <w:rPr>
          <w:rFonts w:ascii="宋体"/>
          <w:b/>
          <w:sz w:val="82"/>
        </w:rPr>
        <w:t xml:space="preserve"> </w:t>
      </w:r>
      <w:r>
        <w:rPr>
          <w:rFonts w:ascii="宋体" w:hint="eastAsia"/>
          <w:b/>
          <w:sz w:val="82"/>
        </w:rPr>
        <w:t>件</w:t>
      </w: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p>
    <w:p>
      <w:pPr>
        <w:jc w:val="center"/>
        <w:rPr>
          <w:sz w:val="30"/>
        </w:rPr>
      </w:pPr>
      <w:r>
        <w:rPr>
          <w:rFonts w:hint="eastAsia"/>
          <w:sz w:val="30"/>
        </w:rPr>
        <w:t>采购人：中华人民共和国重庆江北机场海关</w:t>
      </w:r>
    </w:p>
    <w:p>
      <w:pPr>
        <w:ind w:firstLineChars="750" w:firstLine="2250"/>
        <w:rPr>
          <w:sz w:val="30"/>
        </w:rPr>
      </w:pPr>
      <w:r>
        <w:rPr>
          <w:rFonts w:hint="eastAsia"/>
          <w:sz w:val="30"/>
        </w:rPr>
        <w:t>采购时间：</w:t>
      </w:r>
      <w:r>
        <w:rPr>
          <w:sz w:val="30"/>
        </w:rPr>
        <w:t xml:space="preserve">   2025</w:t>
      </w:r>
      <w:r>
        <w:rPr>
          <w:rFonts w:hint="eastAsia"/>
          <w:sz w:val="30"/>
        </w:rPr>
        <w:t>年</w:t>
      </w:r>
      <w:r>
        <w:rPr>
          <w:sz w:val="30"/>
        </w:rPr>
        <w:t>10</w:t>
      </w:r>
      <w:r>
        <w:rPr>
          <w:rFonts w:hint="eastAsia"/>
          <w:sz w:val="30"/>
        </w:rPr>
        <w:t>月</w:t>
      </w:r>
      <w:r>
        <w:rPr>
          <w:sz w:val="30"/>
        </w:rPr>
        <w:t xml:space="preserve"> </w:t>
      </w:r>
    </w:p>
    <w:p>
      <w:pPr>
        <w:rPr>
          <w:sz w:val="30"/>
        </w:rPr>
      </w:pPr>
    </w:p>
    <w:p>
      <w:pPr>
        <w:jc w:val="center"/>
        <w:rPr>
          <w:sz w:val="30"/>
        </w:rPr>
      </w:pPr>
    </w:p>
    <w:p>
      <w:pPr>
        <w:jc w:val="center"/>
        <w:rPr>
          <w:sz w:val="30"/>
        </w:rPr>
      </w:pPr>
    </w:p>
    <w:p>
      <w:pPr>
        <w:jc w:val="center"/>
        <w:rPr>
          <w:sz w:val="30"/>
        </w:rPr>
      </w:pPr>
    </w:p>
    <w:p>
      <w:pPr>
        <w:jc w:val="center"/>
        <w:rPr>
          <w:sz w:val="30"/>
        </w:rPr>
      </w:pPr>
    </w:p>
    <w:p>
      <w:pPr>
        <w:jc w:val="center"/>
        <w:rPr>
          <w:rFonts w:ascii="黑体" w:eastAsia="黑体"/>
          <w:sz w:val="40"/>
        </w:rPr>
      </w:pPr>
      <w:r>
        <w:rPr>
          <w:rFonts w:ascii="黑体" w:eastAsia="黑体"/>
          <w:sz w:val="40"/>
        </w:rPr>
        <w:br w:type="page"/>
      </w:r>
      <w:r>
        <w:rPr>
          <w:rFonts w:ascii="黑体" w:eastAsia="黑体" w:hint="eastAsia"/>
          <w:sz w:val="40"/>
        </w:rPr>
        <w:t>目</w:t>
      </w:r>
      <w:r>
        <w:rPr>
          <w:rFonts w:ascii="黑体" w:eastAsia="黑体"/>
          <w:sz w:val="40"/>
        </w:rPr>
        <w:t xml:space="preserve">  </w:t>
      </w:r>
      <w:r>
        <w:rPr>
          <w:rFonts w:ascii="黑体" w:eastAsia="黑体" w:hint="eastAsia"/>
          <w:sz w:val="40"/>
        </w:rPr>
        <w:t>录</w:t>
      </w:r>
    </w:p>
    <w:p>
      <w:pPr>
        <w:pStyle w:val="26"/>
        <w:tabs>
          <w:tab w:val="right" w:leader="dot" w:pos="8630"/>
        </w:tabs>
        <w:rPr>
          <w:rFonts w:ascii="Calibri" w:hAnsi="Calibri"/>
          <w:szCs w:val="22"/>
        </w:rPr>
      </w:pPr>
      <w:r>
        <w:rPr>
          <w:rFonts w:ascii="宋体"/>
          <w:sz w:val="28"/>
          <w:szCs w:val="28"/>
        </w:rPr>
        <w:fldChar w:fldCharType="begin"/>
      </w:r>
      <w:r>
        <w:rPr>
          <w:rFonts w:ascii="宋体"/>
          <w:sz w:val="28"/>
          <w:szCs w:val="28"/>
        </w:rPr>
        <w:instrText xml:space="preserve"> TOC \o "1-1" \h \z \u </w:instrText>
      </w:r>
      <w:r>
        <w:rPr>
          <w:rFonts w:ascii="宋体"/>
          <w:sz w:val="28"/>
          <w:szCs w:val="28"/>
        </w:rPr>
        <w:fldChar w:fldCharType="separate"/>
      </w:r>
      <w:r>
        <w:fldChar w:fldCharType="begin"/>
      </w:r>
      <w:r>
        <w:instrText>Hyperlink \l "_Toc116306874"</w:instrText>
      </w:r>
      <w:r>
        <w:fldChar w:fldCharType="separate"/>
      </w:r>
      <w:r>
        <w:rPr>
          <w:rFonts w:ascii="宋体" w:hint="eastAsia"/>
          <w:b/>
        </w:rPr>
        <w:t>第一章</w:t>
      </w:r>
      <w:r>
        <w:rPr>
          <w:rFonts w:ascii="宋体"/>
          <w:b/>
        </w:rPr>
        <w:t xml:space="preserve">  </w:t>
      </w:r>
      <w:r>
        <w:rPr>
          <w:rFonts w:ascii="宋体" w:hint="eastAsia"/>
          <w:b/>
        </w:rPr>
        <w:t>比选通知</w:t>
      </w:r>
      <w:r>
        <w:tab/>
      </w:r>
      <w:r>
        <w:fldChar w:fldCharType="end"/>
      </w:r>
      <w:r>
        <w:rPr>
          <w:rFonts w:hint="eastAsia"/>
        </w:rPr>
        <w:t>3</w:t>
      </w:r>
    </w:p>
    <w:p>
      <w:pPr>
        <w:pStyle w:val="26"/>
        <w:tabs>
          <w:tab w:val="right" w:leader="dot" w:pos="8630"/>
        </w:tabs>
        <w:rPr>
          <w:rFonts w:ascii="Calibri" w:hAnsi="Calibri"/>
          <w:szCs w:val="22"/>
        </w:rPr>
      </w:pPr>
      <w:r>
        <w:fldChar w:fldCharType="begin"/>
      </w:r>
      <w:r>
        <w:instrText>Hyperlink \l "_Toc116306875"</w:instrText>
      </w:r>
      <w:r>
        <w:fldChar w:fldCharType="separate"/>
      </w:r>
      <w:r>
        <w:rPr>
          <w:rFonts w:ascii="宋体" w:hint="eastAsia"/>
          <w:b/>
        </w:rPr>
        <w:t>第二章</w:t>
      </w:r>
      <w:r>
        <w:rPr>
          <w:rFonts w:ascii="宋体"/>
          <w:b/>
        </w:rPr>
        <w:t xml:space="preserve">  </w:t>
      </w:r>
      <w:r>
        <w:rPr>
          <w:rFonts w:ascii="宋体" w:hint="eastAsia"/>
          <w:b/>
        </w:rPr>
        <w:t>比选须知</w:t>
      </w:r>
      <w:r>
        <w:tab/>
      </w:r>
      <w:r>
        <w:fldChar w:fldCharType="end"/>
      </w:r>
      <w:r>
        <w:rPr>
          <w:rFonts w:hint="eastAsia"/>
        </w:rPr>
        <w:t>5</w:t>
      </w:r>
    </w:p>
    <w:p>
      <w:pPr>
        <w:pStyle w:val="26"/>
        <w:tabs>
          <w:tab w:val="right" w:leader="dot" w:pos="8630"/>
        </w:tabs>
        <w:rPr>
          <w:rFonts w:ascii="Calibri" w:hAnsi="Calibri"/>
          <w:szCs w:val="22"/>
        </w:rPr>
      </w:pPr>
      <w:r>
        <w:fldChar w:fldCharType="begin"/>
      </w:r>
      <w:r>
        <w:instrText>Hyperlink \l "_Toc116306876"</w:instrText>
      </w:r>
      <w:r>
        <w:fldChar w:fldCharType="separate"/>
      </w:r>
      <w:r>
        <w:rPr>
          <w:rFonts w:ascii="宋体" w:hint="eastAsia"/>
          <w:b/>
        </w:rPr>
        <w:t xml:space="preserve">第三章 </w:t>
      </w:r>
      <w:r>
        <w:rPr>
          <w:rFonts w:ascii="宋体"/>
          <w:b/>
        </w:rPr>
        <w:t xml:space="preserve"> </w:t>
      </w:r>
      <w:r>
        <w:rPr>
          <w:rFonts w:ascii="宋体" w:hint="eastAsia"/>
          <w:b/>
        </w:rPr>
        <w:t>项目需求</w:t>
      </w:r>
      <w:r>
        <w:tab/>
      </w:r>
      <w:r>
        <w:fldChar w:fldCharType="end"/>
      </w:r>
      <w:r>
        <w:rPr>
          <w:rFonts w:hint="eastAsia"/>
        </w:rPr>
        <w:t>17</w:t>
      </w:r>
    </w:p>
    <w:p>
      <w:pPr>
        <w:pStyle w:val="26"/>
        <w:tabs>
          <w:tab w:val="right" w:leader="dot" w:pos="8630"/>
        </w:tabs>
        <w:rPr>
          <w:rFonts w:ascii="Calibri" w:hAnsi="Calibri"/>
          <w:szCs w:val="22"/>
        </w:rPr>
      </w:pPr>
      <w:r>
        <w:fldChar w:fldCharType="begin"/>
      </w:r>
      <w:r>
        <w:instrText>Hyperlink \l "_Toc116306877"</w:instrText>
      </w:r>
      <w:r>
        <w:fldChar w:fldCharType="separate"/>
      </w:r>
      <w:r>
        <w:rPr>
          <w:rFonts w:ascii="宋体" w:hint="eastAsia"/>
          <w:b/>
        </w:rPr>
        <w:t>第四章</w:t>
      </w:r>
      <w:r>
        <w:rPr>
          <w:rFonts w:ascii="宋体"/>
          <w:b/>
        </w:rPr>
        <w:t xml:space="preserve"> </w:t>
      </w:r>
      <w:r>
        <w:rPr>
          <w:rFonts w:ascii="宋体" w:hint="eastAsia"/>
          <w:b/>
        </w:rPr>
        <w:t xml:space="preserve"> 比选方法</w:t>
      </w:r>
      <w:r>
        <w:tab/>
      </w:r>
      <w:r>
        <w:fldChar w:fldCharType="end"/>
      </w:r>
      <w:r>
        <w:rPr>
          <w:rFonts w:hint="eastAsia"/>
        </w:rPr>
        <w:t>22</w:t>
      </w:r>
    </w:p>
    <w:p>
      <w:pPr>
        <w:pStyle w:val="26"/>
        <w:tabs>
          <w:tab w:val="right" w:leader="dot" w:pos="8630"/>
        </w:tabs>
      </w:pPr>
      <w:r>
        <w:fldChar w:fldCharType="begin"/>
      </w:r>
      <w:r>
        <w:instrText>Hyperlink \l "_Toc116306879"</w:instrText>
      </w:r>
      <w:r>
        <w:fldChar w:fldCharType="separate"/>
      </w:r>
      <w:r>
        <w:rPr>
          <w:rFonts w:ascii="宋体" w:hint="eastAsia"/>
          <w:b/>
        </w:rPr>
        <w:t>第五章</w:t>
      </w:r>
      <w:r>
        <w:rPr>
          <w:rFonts w:ascii="宋体"/>
          <w:b/>
        </w:rPr>
        <w:t xml:space="preserve"> </w:t>
      </w:r>
      <w:r>
        <w:rPr>
          <w:rFonts w:ascii="宋体" w:hint="eastAsia"/>
          <w:b/>
        </w:rPr>
        <w:t xml:space="preserve"> 合同主要条款及合同格式</w:t>
      </w:r>
      <w:r>
        <w:tab/>
      </w:r>
      <w:r>
        <w:fldChar w:fldCharType="end"/>
      </w:r>
      <w:r>
        <w:rPr>
          <w:rFonts w:hint="eastAsia"/>
        </w:rPr>
        <w:t>26</w:t>
      </w:r>
    </w:p>
    <w:p>
      <w:pPr>
        <w:pStyle w:val="26"/>
        <w:tabs>
          <w:tab w:val="right" w:leader="dot" w:pos="8630"/>
        </w:tabs>
      </w:pPr>
      <w:r>
        <w:fldChar w:fldCharType="begin"/>
      </w:r>
      <w:r>
        <w:instrText>Hyperlink \l "_第六章_响应文件格式"</w:instrText>
      </w:r>
      <w:r>
        <w:fldChar w:fldCharType="separate"/>
      </w:r>
      <w:r>
        <w:rPr>
          <w:rFonts w:ascii="宋体" w:hint="eastAsia"/>
          <w:b/>
        </w:rPr>
        <w:t>第六章</w:t>
      </w:r>
      <w:r>
        <w:rPr>
          <w:rFonts w:ascii="宋体"/>
          <w:b/>
        </w:rPr>
        <w:t xml:space="preserve"> </w:t>
      </w:r>
      <w:r>
        <w:rPr>
          <w:rFonts w:ascii="宋体" w:hint="eastAsia"/>
          <w:b/>
        </w:rPr>
        <w:t xml:space="preserve"> 响应文件格式</w:t>
      </w:r>
      <w:r>
        <w:tab/>
      </w:r>
      <w:r>
        <w:fldChar w:fldCharType="end"/>
      </w:r>
      <w:r>
        <w:rPr>
          <w:rFonts w:hint="eastAsia"/>
        </w:rPr>
        <w:t>35</w:t>
      </w:r>
    </w:p>
    <w:p/>
    <w:p>
      <w:pPr>
        <w:rPr>
          <w:sz w:val="20"/>
        </w:rPr>
      </w:pPr>
      <w:r>
        <w:rPr>
          <w:rFonts w:ascii="宋体"/>
          <w:sz w:val="28"/>
          <w:szCs w:val="28"/>
        </w:rPr>
        <w:fldChar w:fldCharType="end"/>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
        <w:tabs>
          <w:tab w:val="left" w:pos="432"/>
        </w:tabs>
        <w:rPr>
          <w:rFonts w:ascii="宋体" w:eastAsia="宋体"/>
          <w:b/>
          <w:sz w:val="44"/>
        </w:rPr>
      </w:pPr>
      <w:bookmarkStart w:id="0" w:name="_Toc505867272"/>
      <w:r>
        <w:rPr>
          <w:rFonts w:ascii="宋体" w:eastAsia="宋体"/>
          <w:b/>
          <w:sz w:val="44"/>
        </w:rPr>
        <w:br w:type="page"/>
      </w:r>
      <w:bookmarkStart w:id="1" w:name="_Toc116306874"/>
      <w:r>
        <w:rPr>
          <w:rFonts w:ascii="宋体" w:eastAsia="宋体" w:hint="eastAsia"/>
          <w:b/>
          <w:sz w:val="44"/>
        </w:rPr>
        <w:t>第一章</w:t>
      </w:r>
      <w:r>
        <w:rPr>
          <w:rFonts w:ascii="宋体" w:eastAsia="宋体"/>
          <w:b/>
          <w:sz w:val="44"/>
        </w:rPr>
        <w:t xml:space="preserve">  </w:t>
      </w:r>
      <w:r>
        <w:rPr>
          <w:rFonts w:ascii="宋体" w:eastAsia="宋体" w:hint="eastAsia"/>
          <w:b/>
          <w:sz w:val="44"/>
        </w:rPr>
        <w:t>比选</w:t>
      </w:r>
      <w:bookmarkEnd w:id="0"/>
      <w:bookmarkEnd w:id="1"/>
      <w:r>
        <w:rPr>
          <w:rFonts w:ascii="宋体" w:eastAsia="宋体" w:hint="eastAsia"/>
          <w:b/>
          <w:sz w:val="44"/>
        </w:rPr>
        <w:t>通知</w:t>
      </w:r>
    </w:p>
    <w:p>
      <w:pPr>
        <w:shd w:val="clear" w:color="auto" w:fill="FFFFFF"/>
        <w:spacing w:line="360" w:lineRule="auto"/>
        <w:ind w:firstLineChars="200" w:firstLine="720"/>
        <w:rPr>
          <w:rFonts w:ascii="黑体" w:eastAsia="黑体"/>
          <w:b/>
          <w:sz w:val="36"/>
          <w:szCs w:val="36"/>
        </w:rPr>
      </w:pPr>
      <w:r>
        <w:rPr>
          <w:rFonts w:ascii="黑体" w:eastAsia="黑体"/>
          <w:b/>
          <w:sz w:val="36"/>
          <w:szCs w:val="36"/>
        </w:rPr>
        <w:t xml:space="preserve"> </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重庆江北机场海关手持式X荧光光谱仪采购项目（第二次）进行比选，现邀请符合资格条件的供应商参加本项目比选。本项目采购活动将严格落实节约能源、保护环境、扶持不发达地区和少数民族地区、促进中小企业发展等政府采购政策。</w:t>
      </w:r>
    </w:p>
    <w:p>
      <w:pPr>
        <w:widowControl/>
        <w:shd w:val="clear" w:color="auto" w:fill="FFFFFF"/>
        <w:spacing w:line="360" w:lineRule="auto"/>
        <w:ind w:firstLineChars="200" w:firstLine="480"/>
        <w:rPr>
          <w:rFonts w:ascii="宋体" w:cs="宋体"/>
          <w:b/>
          <w:kern w:val="0"/>
          <w:sz w:val="24"/>
        </w:rPr>
      </w:pPr>
      <w:r>
        <w:rPr>
          <w:rFonts w:ascii="宋体" w:cs="宋体" w:hint="eastAsia"/>
          <w:b/>
          <w:kern w:val="0"/>
          <w:sz w:val="24"/>
        </w:rPr>
        <w:t>一、项目名称</w:t>
      </w:r>
    </w:p>
    <w:p>
      <w:pPr>
        <w:widowControl/>
        <w:shd w:val="clear" w:color="auto" w:fill="FFFFFF"/>
        <w:spacing w:line="360" w:lineRule="auto"/>
        <w:ind w:firstLineChars="200" w:firstLine="480"/>
        <w:rPr>
          <w:rFonts w:ascii="宋体" w:cs="Arial"/>
          <w:b/>
          <w:kern w:val="0"/>
          <w:sz w:val="24"/>
        </w:rPr>
      </w:pPr>
      <w:r>
        <w:rPr>
          <w:rFonts w:ascii="宋体" w:cs="Arial" w:hint="eastAsia"/>
          <w:bCs/>
          <w:kern w:val="0"/>
          <w:sz w:val="24"/>
        </w:rPr>
        <w:t>采购项目：重庆江北机场海关手持式X荧光光谱仪采购项目（第二次）</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采购人名称：中华人民共和国重庆江北机场海关</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采购人地址：重庆市渝北区机场东二路</w:t>
      </w:r>
      <w:r>
        <w:rPr>
          <w:rFonts w:ascii="宋体" w:cs="Arial"/>
          <w:bCs/>
          <w:kern w:val="0"/>
          <w:sz w:val="24"/>
        </w:rPr>
        <w:t>9</w:t>
      </w:r>
      <w:r>
        <w:rPr>
          <w:rFonts w:ascii="宋体" w:cs="Arial" w:hint="eastAsia"/>
          <w:bCs/>
          <w:kern w:val="0"/>
          <w:sz w:val="24"/>
        </w:rPr>
        <w:t>号</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采购方式：比选</w:t>
      </w:r>
    </w:p>
    <w:p>
      <w:pPr>
        <w:widowControl/>
        <w:shd w:val="clear" w:color="auto" w:fill="FFFFFF"/>
        <w:spacing w:line="360" w:lineRule="auto"/>
        <w:ind w:firstLineChars="200" w:firstLine="480"/>
        <w:rPr>
          <w:rFonts w:ascii="宋体" w:cs="宋体"/>
          <w:b/>
          <w:kern w:val="0"/>
          <w:sz w:val="24"/>
        </w:rPr>
      </w:pPr>
      <w:r>
        <w:rPr>
          <w:rFonts w:ascii="宋体" w:cs="宋体" w:hint="eastAsia"/>
          <w:b/>
          <w:kern w:val="0"/>
          <w:sz w:val="24"/>
        </w:rPr>
        <w:t>二、采购内容</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采购手持式X荧光光谱仪1台，合同签订后20个日历日内交货。详见第三章“项目需求”。</w:t>
      </w:r>
    </w:p>
    <w:p>
      <w:pPr>
        <w:widowControl/>
        <w:shd w:val="clear" w:color="auto" w:fill="FFFFFF"/>
        <w:spacing w:line="360" w:lineRule="auto"/>
        <w:ind w:firstLineChars="200" w:firstLine="480"/>
        <w:rPr>
          <w:rFonts w:ascii="宋体" w:cs="宋体"/>
          <w:b/>
          <w:kern w:val="0"/>
          <w:sz w:val="24"/>
        </w:rPr>
      </w:pPr>
      <w:r>
        <w:rPr>
          <w:rFonts w:ascii="宋体" w:cs="宋体" w:hint="eastAsia"/>
          <w:b/>
          <w:kern w:val="0"/>
          <w:sz w:val="24"/>
        </w:rPr>
        <w:t>三、项目最高限价</w:t>
      </w:r>
    </w:p>
    <w:p>
      <w:pPr>
        <w:widowControl/>
        <w:shd w:val="clear" w:color="auto" w:fill="FFFFFF"/>
        <w:spacing w:line="360" w:lineRule="auto"/>
        <w:ind w:firstLineChars="200" w:firstLine="480"/>
        <w:rPr>
          <w:rFonts w:ascii="宋体" w:cs="宋体"/>
          <w:kern w:val="0"/>
          <w:sz w:val="24"/>
        </w:rPr>
      </w:pPr>
      <w:r>
        <w:rPr>
          <w:rFonts w:ascii="宋体" w:cs="宋体" w:hint="eastAsia"/>
          <w:kern w:val="0"/>
          <w:sz w:val="24"/>
        </w:rPr>
        <w:t>本项目预算金额</w:t>
      </w:r>
      <w:r>
        <w:rPr>
          <w:rFonts w:ascii="宋体" w:cs="宋体"/>
          <w:kern w:val="0"/>
          <w:sz w:val="24"/>
        </w:rPr>
        <w:t>24</w:t>
      </w:r>
      <w:r>
        <w:rPr>
          <w:rFonts w:ascii="宋体" w:cs="宋体" w:hint="eastAsia"/>
          <w:kern w:val="0"/>
          <w:sz w:val="24"/>
        </w:rPr>
        <w:t>万元。</w:t>
      </w:r>
    </w:p>
    <w:p>
      <w:pPr>
        <w:spacing w:line="360" w:lineRule="auto"/>
        <w:ind w:firstLineChars="200" w:firstLine="480"/>
        <w:rPr>
          <w:rFonts w:ascii="宋体"/>
          <w:b/>
          <w:sz w:val="24"/>
        </w:rPr>
      </w:pPr>
      <w:r>
        <w:rPr>
          <w:rFonts w:ascii="宋体" w:hint="eastAsia"/>
          <w:b/>
          <w:sz w:val="24"/>
        </w:rPr>
        <w:t>四、供应商资格要求</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（一）符合《政府采购法》第二十二条规定：</w:t>
      </w:r>
    </w:p>
    <w:p>
      <w:pPr>
        <w:widowControl/>
        <w:shd w:val="clear" w:color="auto" w:fill="FFFFFF"/>
        <w:spacing w:line="360" w:lineRule="auto"/>
        <w:ind w:firstLineChars="200" w:firstLine="480"/>
        <w:rPr>
          <w:rFonts w:ascii="宋体" w:cs="Arial"/>
          <w:bCs/>
          <w:kern w:val="0"/>
          <w:sz w:val="24"/>
        </w:rPr>
      </w:pPr>
      <w:r>
        <w:rPr>
          <w:rFonts w:ascii="宋体" w:cs="Arial"/>
          <w:bCs/>
          <w:kern w:val="0"/>
          <w:sz w:val="24"/>
        </w:rPr>
        <w:t>1</w:t>
      </w:r>
      <w:r>
        <w:rPr>
          <w:rFonts w:ascii="宋体" w:cs="Arial" w:hint="eastAsia"/>
          <w:bCs/>
          <w:kern w:val="0"/>
          <w:sz w:val="24"/>
        </w:rPr>
        <w:t>、具有独立承担民事责任的能力；</w:t>
      </w:r>
    </w:p>
    <w:p>
      <w:pPr>
        <w:widowControl/>
        <w:shd w:val="clear" w:color="auto" w:fill="FFFFFF"/>
        <w:spacing w:line="360" w:lineRule="auto"/>
        <w:ind w:firstLineChars="200" w:firstLine="480"/>
        <w:rPr>
          <w:rFonts w:ascii="宋体" w:cs="Arial"/>
          <w:bCs/>
          <w:kern w:val="0"/>
          <w:sz w:val="24"/>
        </w:rPr>
      </w:pPr>
      <w:r>
        <w:rPr>
          <w:rFonts w:ascii="宋体" w:cs="Arial"/>
          <w:bCs/>
          <w:kern w:val="0"/>
          <w:sz w:val="24"/>
        </w:rPr>
        <w:t>2</w:t>
      </w:r>
      <w:r>
        <w:rPr>
          <w:rFonts w:ascii="宋体" w:cs="Arial" w:hint="eastAsia"/>
          <w:bCs/>
          <w:kern w:val="0"/>
          <w:sz w:val="24"/>
        </w:rPr>
        <w:t>、具有良好的商业信誉和健全的财务会计制度；</w:t>
      </w:r>
    </w:p>
    <w:p>
      <w:pPr>
        <w:widowControl/>
        <w:shd w:val="clear" w:color="auto" w:fill="FFFFFF"/>
        <w:spacing w:line="360" w:lineRule="auto"/>
        <w:ind w:firstLineChars="200" w:firstLine="480"/>
        <w:rPr>
          <w:rFonts w:ascii="宋体" w:cs="Arial"/>
          <w:bCs/>
          <w:kern w:val="0"/>
          <w:sz w:val="24"/>
        </w:rPr>
      </w:pPr>
      <w:r>
        <w:rPr>
          <w:rFonts w:ascii="宋体" w:cs="Arial"/>
          <w:bCs/>
          <w:kern w:val="0"/>
          <w:sz w:val="24"/>
        </w:rPr>
        <w:t>3</w:t>
      </w:r>
      <w:r>
        <w:rPr>
          <w:rFonts w:ascii="宋体" w:cs="Arial" w:hint="eastAsia"/>
          <w:bCs/>
          <w:kern w:val="0"/>
          <w:sz w:val="24"/>
        </w:rPr>
        <w:t>、具有履行合同所必需的设备和专业技术能力；</w:t>
      </w:r>
    </w:p>
    <w:p>
      <w:pPr>
        <w:widowControl/>
        <w:shd w:val="clear" w:color="auto" w:fill="FFFFFF"/>
        <w:spacing w:line="360" w:lineRule="auto"/>
        <w:ind w:firstLineChars="200" w:firstLine="480"/>
        <w:rPr>
          <w:rFonts w:ascii="宋体" w:cs="Arial"/>
          <w:bCs/>
          <w:kern w:val="0"/>
          <w:sz w:val="24"/>
        </w:rPr>
      </w:pPr>
      <w:r>
        <w:rPr>
          <w:rFonts w:ascii="宋体" w:cs="Arial"/>
          <w:bCs/>
          <w:kern w:val="0"/>
          <w:sz w:val="24"/>
        </w:rPr>
        <w:t>4</w:t>
      </w:r>
      <w:r>
        <w:rPr>
          <w:rFonts w:ascii="宋体" w:cs="Arial" w:hint="eastAsia"/>
          <w:bCs/>
          <w:kern w:val="0"/>
          <w:sz w:val="24"/>
        </w:rPr>
        <w:t>、有依法缴纳税收和社会保障资金的良好记录；</w:t>
      </w:r>
    </w:p>
    <w:p>
      <w:pPr>
        <w:widowControl/>
        <w:shd w:val="clear" w:color="auto" w:fill="FFFFFF"/>
        <w:spacing w:line="360" w:lineRule="auto"/>
        <w:ind w:firstLineChars="200" w:firstLine="480"/>
        <w:rPr>
          <w:rFonts w:ascii="宋体" w:cs="Arial"/>
          <w:bCs/>
          <w:kern w:val="0"/>
          <w:sz w:val="24"/>
        </w:rPr>
      </w:pPr>
      <w:r>
        <w:rPr>
          <w:rFonts w:ascii="宋体" w:cs="Arial"/>
          <w:bCs/>
          <w:kern w:val="0"/>
          <w:sz w:val="24"/>
        </w:rPr>
        <w:t>5</w:t>
      </w:r>
      <w:r>
        <w:rPr>
          <w:rFonts w:ascii="宋体" w:cs="Arial" w:hint="eastAsia"/>
          <w:bCs/>
          <w:kern w:val="0"/>
          <w:sz w:val="24"/>
        </w:rPr>
        <w:t>、参加政府采购活动近三年内，在经营活动中没有重大违法记录。</w:t>
      </w:r>
    </w:p>
    <w:p>
      <w:pPr>
        <w:widowControl/>
        <w:shd w:val="clear" w:color="auto" w:fill="FFFFFF"/>
        <w:ind w:firstLineChars="200" w:firstLine="480"/>
        <w:rPr>
          <w:rFonts w:ascii="宋体" w:cs="Arial"/>
          <w:bCs/>
          <w:kern w:val="0"/>
          <w:sz w:val="24"/>
        </w:rPr>
      </w:pPr>
      <w:r>
        <w:rPr>
          <w:rFonts w:ascii="宋体" w:cs="Arial" w:hint="eastAsia"/>
          <w:bCs/>
          <w:kern w:val="0"/>
          <w:sz w:val="24"/>
        </w:rPr>
        <w:t>（二）特定资格条件</w:t>
      </w:r>
      <w:r>
        <w:rPr>
          <w:rFonts w:ascii="宋体" w:cs="Arial"/>
          <w:bCs/>
          <w:kern w:val="0"/>
          <w:sz w:val="24"/>
        </w:rPr>
        <w:t>:</w:t>
      </w:r>
      <w:r>
        <w:rPr>
          <w:rFonts w:ascii="宋体" w:cs="Arial" w:hint="eastAsia"/>
          <w:bCs/>
          <w:kern w:val="0"/>
          <w:sz w:val="24"/>
        </w:rPr>
        <w:t>无。</w:t>
      </w:r>
    </w:p>
    <w:p>
      <w:pPr>
        <w:pStyle w:val="15"/>
        <w:spacing w:line="240" w:lineRule="auto"/>
        <w:ind w:firstLine="422"/>
        <w:jc w:val="left"/>
        <w:rPr>
          <w:rFonts w:ascii="宋体" w:cs="Arial"/>
          <w:bCs w:val="0"/>
          <w:kern w:val="0"/>
          <w:sz w:val="24"/>
        </w:rPr>
      </w:pPr>
      <w:r>
        <w:rPr>
          <w:rFonts w:ascii="宋体" w:cs="Arial" w:hint="eastAsia"/>
          <w:b w:val="0"/>
          <w:kern w:val="0"/>
          <w:sz w:val="24"/>
          <w:szCs w:val="24"/>
        </w:rPr>
        <w:t>（三）本项目不允许转包，未经允许不得分包。</w:t>
      </w:r>
    </w:p>
    <w:p>
      <w:pPr>
        <w:spacing w:line="360" w:lineRule="auto"/>
        <w:ind w:firstLineChars="200" w:firstLine="480"/>
        <w:rPr>
          <w:rFonts w:ascii="宋体"/>
          <w:b/>
          <w:sz w:val="24"/>
        </w:rPr>
      </w:pPr>
      <w:r>
        <w:rPr>
          <w:rFonts w:ascii="宋体" w:hint="eastAsia"/>
          <w:b/>
          <w:sz w:val="24"/>
        </w:rPr>
        <w:t>五、比选文件的获取</w:t>
      </w:r>
    </w:p>
    <w:p>
      <w:pPr>
        <w:widowControl/>
        <w:shd w:val="clear" w:color="auto" w:fill="FFFFFF"/>
        <w:spacing w:line="360" w:lineRule="auto"/>
        <w:ind w:firstLineChars="200" w:firstLine="480"/>
        <w:rPr>
          <w:rFonts w:ascii="宋体" w:cs="Arial"/>
          <w:bCs/>
          <w:kern w:val="0"/>
          <w:sz w:val="24"/>
        </w:rPr>
      </w:pPr>
      <w:r>
        <w:rPr>
          <w:rFonts w:ascii="宋体" w:cs="Arial"/>
          <w:bCs/>
          <w:kern w:val="0"/>
          <w:sz w:val="24"/>
        </w:rPr>
        <w:t>1</w:t>
      </w:r>
      <w:r>
        <w:rPr>
          <w:rFonts w:ascii="宋体" w:cs="Arial" w:hint="eastAsia"/>
          <w:bCs/>
          <w:kern w:val="0"/>
          <w:sz w:val="24"/>
        </w:rPr>
        <w:t>、时间：起至提交响应文件截止时间前。</w:t>
      </w:r>
    </w:p>
    <w:p>
      <w:pPr>
        <w:widowControl/>
        <w:shd w:val="clear" w:color="auto" w:fill="FFFFFF"/>
        <w:spacing w:line="360" w:lineRule="auto"/>
        <w:ind w:firstLineChars="200" w:firstLine="480"/>
        <w:rPr>
          <w:rFonts w:ascii="宋体" w:cs="Arial"/>
          <w:bCs/>
          <w:kern w:val="0"/>
          <w:sz w:val="24"/>
        </w:rPr>
      </w:pPr>
      <w:r>
        <w:rPr>
          <w:rFonts w:ascii="宋体" w:cs="Arial" w:hint="eastAsia"/>
          <w:bCs/>
          <w:kern w:val="0"/>
          <w:sz w:val="24"/>
        </w:rPr>
        <w:t>获取方式：在重庆海关官方网站(www.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360" w:lineRule="auto"/>
        <w:ind w:firstLineChars="200" w:firstLine="480"/>
        <w:rPr>
          <w:rFonts w:ascii="宋体" w:cs="Arial"/>
          <w:bCs/>
          <w:kern w:val="0"/>
          <w:sz w:val="24"/>
        </w:rPr>
      </w:pPr>
      <w:r>
        <w:rPr>
          <w:rFonts w:ascii="宋体" w:hint="eastAsia"/>
          <w:b/>
          <w:sz w:val="24"/>
        </w:rPr>
        <w:t>六、</w:t>
      </w:r>
      <w:r>
        <w:rPr>
          <w:rFonts w:ascii="宋体" w:cs="Arial" w:hint="eastAsia"/>
          <w:bCs/>
          <w:kern w:val="0"/>
          <w:sz w:val="24"/>
        </w:rPr>
        <w:t>响应文件递交、开标时间和地点</w:t>
      </w:r>
    </w:p>
    <w:p>
      <w:pPr>
        <w:spacing w:line="360" w:lineRule="auto"/>
        <w:ind w:firstLineChars="200" w:firstLine="480"/>
        <w:rPr>
          <w:rFonts w:ascii="宋体" w:cs="Arial"/>
          <w:bCs/>
          <w:kern w:val="0"/>
          <w:sz w:val="24"/>
        </w:rPr>
      </w:pPr>
      <w:r>
        <w:rPr>
          <w:rFonts w:ascii="宋体" w:cs="Arial" w:hint="eastAsia"/>
          <w:bCs/>
          <w:kern w:val="0"/>
          <w:sz w:val="24"/>
        </w:rPr>
        <w:t>1、凡有意参加的供应商，可</w:t>
      </w:r>
      <w:r>
        <w:rPr>
          <w:rFonts w:ascii="宋体" w:cs="Arial" w:hint="eastAsia"/>
          <w:b/>
          <w:bCs/>
          <w:kern w:val="0"/>
          <w:sz w:val="24"/>
        </w:rPr>
        <w:t>任选</w:t>
      </w:r>
      <w:r>
        <w:rPr>
          <w:rFonts w:ascii="宋体" w:cs="Arial" w:hint="eastAsia"/>
          <w:bCs/>
          <w:kern w:val="0"/>
          <w:sz w:val="24"/>
        </w:rPr>
        <w:t>以下两种方式之一递交响应文件：</w:t>
      </w:r>
    </w:p>
    <w:p>
      <w:pPr>
        <w:spacing w:line="360" w:lineRule="auto"/>
        <w:ind w:firstLineChars="200" w:firstLine="480"/>
        <w:rPr>
          <w:rFonts w:ascii="宋体" w:cs="Arial"/>
          <w:bCs/>
          <w:kern w:val="0"/>
          <w:sz w:val="24"/>
        </w:rPr>
      </w:pPr>
      <w:r>
        <w:rPr>
          <w:rFonts w:ascii="宋体" w:cs="Arial" w:hint="eastAsia"/>
          <w:b/>
          <w:bCs/>
          <w:kern w:val="0"/>
          <w:sz w:val="24"/>
        </w:rPr>
        <w:t>（1）邮寄递交</w:t>
      </w:r>
      <w:r>
        <w:rPr>
          <w:rFonts w:ascii="宋体" w:cs="Arial" w:hint="eastAsia"/>
          <w:bCs/>
          <w:kern w:val="0"/>
          <w:sz w:val="24"/>
        </w:rPr>
        <w:t>：请于</w:t>
      </w:r>
      <w:r>
        <w:rPr>
          <w:rFonts w:ascii="宋体" w:cs="Arial" w:hint="eastAsia"/>
          <w:b/>
          <w:bCs/>
          <w:kern w:val="0"/>
          <w:sz w:val="24"/>
        </w:rPr>
        <w:t>2025年10月</w:t>
      </w:r>
      <w:r>
        <w:rPr>
          <w:rFonts w:ascii="宋体" w:cs="Arial"/>
          <w:b/>
          <w:bCs/>
          <w:kern w:val="0"/>
          <w:sz w:val="24"/>
        </w:rPr>
        <w:t>17</w:t>
      </w:r>
      <w:r>
        <w:rPr>
          <w:rFonts w:ascii="宋体" w:cs="Arial" w:hint="eastAsia"/>
          <w:b/>
          <w:bCs/>
          <w:kern w:val="0"/>
          <w:sz w:val="24"/>
        </w:rPr>
        <w:t>日</w:t>
      </w:r>
      <w:r>
        <w:rPr>
          <w:rFonts w:ascii="宋体" w:cs="Arial"/>
          <w:b/>
          <w:bCs/>
          <w:kern w:val="0"/>
          <w:sz w:val="24"/>
        </w:rPr>
        <w:t>14</w:t>
      </w:r>
      <w:r>
        <w:rPr>
          <w:rFonts w:ascii="宋体" w:cs="Arial" w:hint="eastAsia"/>
          <w:b/>
          <w:bCs/>
          <w:kern w:val="0"/>
          <w:sz w:val="24"/>
        </w:rPr>
        <w:t>:</w:t>
      </w:r>
      <w:r>
        <w:rPr>
          <w:rFonts w:ascii="宋体" w:cs="Arial"/>
          <w:b/>
          <w:bCs/>
          <w:kern w:val="0"/>
          <w:sz w:val="24"/>
        </w:rPr>
        <w:t>30</w:t>
      </w:r>
      <w:r>
        <w:rPr>
          <w:rFonts w:ascii="宋体" w:cs="Arial" w:hint="eastAsia"/>
          <w:b/>
          <w:bCs/>
          <w:kern w:val="0"/>
          <w:sz w:val="24"/>
        </w:rPr>
        <w:t>（北京时间）前</w:t>
      </w:r>
      <w:r>
        <w:rPr>
          <w:rFonts w:ascii="宋体" w:cs="Arial" w:hint="eastAsia"/>
          <w:bCs/>
          <w:kern w:val="0"/>
          <w:sz w:val="24"/>
        </w:rPr>
        <w:t>，将响应文件送达采购人（送达时间以采购人签收时间为准），文件一正一副，并在封面右上角注明。采购人收件信息：马老师，023-67709228，重庆市渝北区机场东二路9号机场海关。供应商应充分预留邮寄时间，避免由此造成逾期送达。因邮寄问题出现的逾期后果由供应商自行负责。</w:t>
      </w:r>
    </w:p>
    <w:p>
      <w:pPr>
        <w:autoSpaceDN w:val="0"/>
        <w:spacing w:line="360" w:lineRule="auto"/>
        <w:ind w:firstLineChars="200" w:firstLine="480"/>
        <w:rPr>
          <w:rFonts w:ascii="宋体"/>
          <w:sz w:val="24"/>
        </w:rPr>
      </w:pPr>
      <w:r>
        <w:rPr>
          <w:rFonts w:ascii="宋体" w:cs="Arial" w:hint="eastAsia"/>
          <w:b/>
          <w:kern w:val="0"/>
          <w:sz w:val="24"/>
        </w:rPr>
        <w:t>（2）</w:t>
      </w:r>
      <w:r>
        <w:rPr>
          <w:rFonts w:ascii="宋体" w:cs="Arial" w:hint="eastAsia"/>
          <w:b/>
          <w:bCs/>
          <w:kern w:val="0"/>
          <w:sz w:val="24"/>
        </w:rPr>
        <w:t>现场递交</w:t>
      </w:r>
      <w:r>
        <w:rPr>
          <w:rFonts w:ascii="宋体" w:cs="Arial" w:hint="eastAsia"/>
          <w:b/>
          <w:kern w:val="0"/>
          <w:sz w:val="24"/>
        </w:rPr>
        <w:t>：2025年10月</w:t>
      </w:r>
      <w:r>
        <w:rPr>
          <w:rFonts w:ascii="宋体" w:cs="Arial"/>
          <w:b/>
          <w:kern w:val="0"/>
          <w:sz w:val="24"/>
        </w:rPr>
        <w:t>17</w:t>
      </w:r>
      <w:r>
        <w:rPr>
          <w:rFonts w:ascii="宋体" w:cs="Arial" w:hint="eastAsia"/>
          <w:b/>
          <w:kern w:val="0"/>
          <w:sz w:val="24"/>
        </w:rPr>
        <w:t>日</w:t>
      </w:r>
      <w:r>
        <w:rPr>
          <w:rFonts w:ascii="宋体" w:cs="Arial"/>
          <w:b/>
          <w:kern w:val="0"/>
          <w:sz w:val="24"/>
        </w:rPr>
        <w:t>14</w:t>
      </w:r>
      <w:r>
        <w:rPr>
          <w:rFonts w:ascii="宋体" w:cs="Arial" w:hint="eastAsia"/>
          <w:b/>
          <w:kern w:val="0"/>
          <w:sz w:val="24"/>
        </w:rPr>
        <w:t>：</w:t>
      </w:r>
      <w:r>
        <w:rPr>
          <w:rFonts w:ascii="宋体" w:cs="Arial"/>
          <w:b/>
          <w:kern w:val="0"/>
          <w:sz w:val="24"/>
        </w:rPr>
        <w:t>00</w:t>
      </w:r>
      <w:r>
        <w:rPr>
          <w:rFonts w:ascii="宋体" w:cs="Arial" w:hint="eastAsia"/>
          <w:b/>
          <w:kern w:val="0"/>
          <w:sz w:val="24"/>
        </w:rPr>
        <w:t>至2025年10月</w:t>
      </w:r>
      <w:r>
        <w:rPr>
          <w:rFonts w:ascii="宋体" w:cs="Arial"/>
          <w:b/>
          <w:kern w:val="0"/>
          <w:sz w:val="24"/>
        </w:rPr>
        <w:t>17</w:t>
      </w:r>
      <w:r>
        <w:rPr>
          <w:rFonts w:ascii="宋体" w:cs="Arial" w:hint="eastAsia"/>
          <w:b/>
          <w:kern w:val="0"/>
          <w:sz w:val="24"/>
        </w:rPr>
        <w:t>日</w:t>
      </w:r>
      <w:r>
        <w:rPr>
          <w:rFonts w:ascii="宋体" w:cs="Arial"/>
          <w:b/>
          <w:kern w:val="0"/>
          <w:sz w:val="24"/>
        </w:rPr>
        <w:t>14</w:t>
      </w:r>
      <w:r>
        <w:rPr>
          <w:rFonts w:ascii="宋体" w:cs="Arial" w:hint="eastAsia"/>
          <w:b/>
          <w:kern w:val="0"/>
          <w:sz w:val="24"/>
        </w:rPr>
        <w:t>：</w:t>
      </w:r>
      <w:r>
        <w:rPr>
          <w:rFonts w:ascii="宋体" w:cs="Arial"/>
          <w:b/>
          <w:kern w:val="0"/>
          <w:sz w:val="24"/>
        </w:rPr>
        <w:t>30</w:t>
      </w:r>
      <w:r>
        <w:rPr>
          <w:rFonts w:ascii="宋体" w:cs="Arial" w:hint="eastAsia"/>
          <w:b/>
          <w:kern w:val="0"/>
          <w:sz w:val="24"/>
        </w:rPr>
        <w:t>（北京时间），</w:t>
      </w:r>
      <w:r>
        <w:rPr>
          <w:rFonts w:ascii="宋体" w:hint="eastAsia"/>
          <w:sz w:val="24"/>
        </w:rPr>
        <w:t>持法定代表人授权委托书（法定代表人报名则不需要）、响应文件（以上均加盖单位鲜章）和本人身份证，到</w:t>
      </w:r>
      <w:r>
        <w:rPr>
          <w:rFonts w:ascii="宋体" w:cs="Arial" w:hint="eastAsia"/>
          <w:kern w:val="0"/>
          <w:sz w:val="24"/>
        </w:rPr>
        <w:t>重庆市渝北区机场东二路9号215室</w:t>
      </w:r>
      <w:r>
        <w:rPr>
          <w:rFonts w:ascii="宋体" w:hint="eastAsia"/>
          <w:sz w:val="24"/>
        </w:rPr>
        <w:t>提交响应文件。</w:t>
      </w:r>
    </w:p>
    <w:p>
      <w:pPr>
        <w:spacing w:line="360" w:lineRule="auto"/>
        <w:ind w:firstLineChars="200" w:firstLine="480"/>
        <w:rPr>
          <w:rFonts w:ascii="宋体" w:cs="Arial"/>
          <w:bCs/>
          <w:kern w:val="0"/>
          <w:sz w:val="24"/>
        </w:rPr>
      </w:pPr>
      <w:r>
        <w:rPr>
          <w:rFonts w:ascii="宋体" w:cs="Arial" w:hint="eastAsia"/>
          <w:bCs/>
          <w:kern w:val="0"/>
          <w:sz w:val="24"/>
        </w:rPr>
        <w:t>2、开标时间：2025年10月</w:t>
      </w:r>
      <w:r>
        <w:rPr>
          <w:rFonts w:ascii="宋体" w:cs="Arial"/>
          <w:bCs/>
          <w:kern w:val="0"/>
          <w:sz w:val="24"/>
        </w:rPr>
        <w:t>17</w:t>
      </w:r>
      <w:r>
        <w:rPr>
          <w:rFonts w:ascii="宋体" w:cs="Arial" w:hint="eastAsia"/>
          <w:bCs/>
          <w:kern w:val="0"/>
          <w:sz w:val="24"/>
        </w:rPr>
        <w:t>日</w:t>
      </w:r>
      <w:r>
        <w:rPr>
          <w:rFonts w:ascii="宋体" w:cs="Arial"/>
          <w:bCs/>
          <w:kern w:val="0"/>
          <w:sz w:val="24"/>
        </w:rPr>
        <w:t>14</w:t>
      </w:r>
      <w:r>
        <w:rPr>
          <w:rFonts w:ascii="宋体" w:cs="Arial" w:hint="eastAsia"/>
          <w:bCs/>
          <w:kern w:val="0"/>
          <w:sz w:val="24"/>
        </w:rPr>
        <w:t>：</w:t>
      </w:r>
      <w:r>
        <w:rPr>
          <w:rFonts w:ascii="宋体" w:cs="Arial"/>
          <w:bCs/>
          <w:kern w:val="0"/>
          <w:sz w:val="24"/>
        </w:rPr>
        <w:t>30</w:t>
      </w:r>
      <w:r>
        <w:rPr>
          <w:rFonts w:ascii="宋体" w:cs="Arial" w:hint="eastAsia"/>
          <w:bCs/>
          <w:kern w:val="0"/>
          <w:sz w:val="24"/>
        </w:rPr>
        <w:t>（北京时间）</w:t>
      </w:r>
    </w:p>
    <w:p>
      <w:pPr>
        <w:spacing w:line="360" w:lineRule="auto"/>
        <w:ind w:firstLineChars="200" w:firstLine="480"/>
        <w:rPr>
          <w:rFonts w:ascii="宋体" w:cs="Arial"/>
          <w:bCs/>
          <w:kern w:val="0"/>
          <w:sz w:val="24"/>
        </w:rPr>
      </w:pPr>
      <w:r>
        <w:rPr>
          <w:rFonts w:ascii="宋体" w:cs="Arial" w:hint="eastAsia"/>
          <w:bCs/>
          <w:kern w:val="0"/>
          <w:sz w:val="24"/>
        </w:rPr>
        <w:t>3、开标地点：重庆市渝北区机场东二路9号215室</w:t>
      </w:r>
    </w:p>
    <w:p>
      <w:pPr>
        <w:spacing w:line="360" w:lineRule="auto"/>
        <w:ind w:firstLineChars="200" w:firstLine="480"/>
        <w:rPr>
          <w:rFonts w:ascii="宋体" w:cs="Arial"/>
          <w:bCs/>
          <w:kern w:val="0"/>
          <w:sz w:val="24"/>
        </w:rPr>
      </w:pPr>
      <w:r>
        <w:rPr>
          <w:rFonts w:ascii="宋体" w:hint="eastAsia"/>
          <w:b/>
          <w:bCs/>
          <w:sz w:val="24"/>
        </w:rPr>
        <w:t>七、通知期限</w:t>
      </w:r>
    </w:p>
    <w:p>
      <w:pPr>
        <w:spacing w:line="360" w:lineRule="auto"/>
        <w:ind w:firstLineChars="200" w:firstLine="480"/>
        <w:rPr>
          <w:rFonts w:ascii="宋体" w:cs="Arial"/>
          <w:bCs/>
          <w:kern w:val="0"/>
          <w:sz w:val="24"/>
        </w:rPr>
      </w:pPr>
      <w:r>
        <w:rPr>
          <w:rFonts w:ascii="宋体" w:cs="Arial" w:hint="eastAsia"/>
          <w:bCs/>
          <w:kern w:val="0"/>
          <w:sz w:val="24"/>
        </w:rPr>
        <w:t>自本通知发布之日起至2025年10月</w:t>
      </w:r>
      <w:r>
        <w:rPr>
          <w:rFonts w:ascii="宋体" w:cs="Arial"/>
          <w:bCs/>
          <w:kern w:val="0"/>
          <w:sz w:val="24"/>
        </w:rPr>
        <w:t>17</w:t>
      </w:r>
      <w:r>
        <w:rPr>
          <w:rFonts w:ascii="宋体" w:cs="Arial" w:hint="eastAsia"/>
          <w:bCs/>
          <w:kern w:val="0"/>
          <w:sz w:val="24"/>
        </w:rPr>
        <w:t>日。</w:t>
      </w:r>
    </w:p>
    <w:p>
      <w:pPr>
        <w:spacing w:line="360" w:lineRule="auto"/>
        <w:ind w:firstLineChars="200" w:firstLine="480"/>
        <w:rPr>
          <w:rFonts w:ascii="宋体"/>
          <w:b/>
          <w:sz w:val="24"/>
        </w:rPr>
      </w:pPr>
      <w:r>
        <w:rPr>
          <w:rFonts w:ascii="宋体" w:hint="eastAsia"/>
          <w:b/>
          <w:sz w:val="24"/>
        </w:rPr>
        <w:t>八、对本次采购提出询问，请按以下方式联系</w:t>
      </w:r>
    </w:p>
    <w:p>
      <w:pPr>
        <w:spacing w:line="360" w:lineRule="auto"/>
        <w:ind w:firstLineChars="200" w:firstLine="480"/>
        <w:rPr>
          <w:rFonts w:ascii="宋体"/>
          <w:sz w:val="24"/>
        </w:rPr>
      </w:pPr>
      <w:r>
        <w:rPr>
          <w:rFonts w:ascii="宋体"/>
          <w:sz w:val="24"/>
        </w:rPr>
        <w:t>1</w:t>
      </w:r>
      <w:r>
        <w:rPr>
          <w:rFonts w:ascii="宋体" w:hint="eastAsia"/>
          <w:sz w:val="24"/>
        </w:rPr>
        <w:t>、采购人信息</w:t>
      </w:r>
    </w:p>
    <w:p>
      <w:pPr>
        <w:spacing w:line="360" w:lineRule="auto"/>
        <w:ind w:firstLineChars="200" w:firstLine="480"/>
        <w:rPr>
          <w:rFonts w:ascii="宋体"/>
          <w:sz w:val="24"/>
        </w:rPr>
      </w:pPr>
      <w:r>
        <w:rPr>
          <w:rFonts w:ascii="宋体" w:hint="eastAsia"/>
          <w:sz w:val="24"/>
        </w:rPr>
        <w:t>名称：中华人民共和国重庆江北机场海关</w:t>
      </w:r>
    </w:p>
    <w:p>
      <w:pPr>
        <w:spacing w:line="360" w:lineRule="auto"/>
        <w:ind w:firstLineChars="200" w:firstLine="480"/>
        <w:rPr>
          <w:rFonts w:ascii="宋体"/>
          <w:sz w:val="24"/>
        </w:rPr>
      </w:pPr>
      <w:r>
        <w:rPr>
          <w:rFonts w:ascii="宋体" w:hint="eastAsia"/>
          <w:sz w:val="24"/>
        </w:rPr>
        <w:t>地址：重庆市渝北区机场东二路</w:t>
      </w:r>
      <w:r>
        <w:rPr>
          <w:rFonts w:ascii="宋体"/>
          <w:sz w:val="24"/>
        </w:rPr>
        <w:t>9</w:t>
      </w:r>
      <w:r>
        <w:rPr>
          <w:rFonts w:ascii="宋体" w:hint="eastAsia"/>
          <w:sz w:val="24"/>
        </w:rPr>
        <w:t>号</w:t>
      </w:r>
    </w:p>
    <w:p>
      <w:pPr>
        <w:spacing w:line="360" w:lineRule="auto"/>
        <w:ind w:firstLineChars="200" w:firstLine="480"/>
        <w:rPr>
          <w:rFonts w:ascii="宋体"/>
          <w:sz w:val="24"/>
        </w:rPr>
      </w:pPr>
      <w:r>
        <w:rPr>
          <w:rFonts w:ascii="宋体" w:hint="eastAsia"/>
          <w:sz w:val="24"/>
        </w:rPr>
        <w:t>联系方式：马老师，</w:t>
      </w:r>
      <w:r>
        <w:rPr>
          <w:rFonts w:ascii="宋体"/>
          <w:sz w:val="24"/>
        </w:rPr>
        <w:t>023-67709228</w:t>
      </w:r>
    </w:p>
    <w:p>
      <w:pPr>
        <w:spacing w:line="360" w:lineRule="auto"/>
        <w:ind w:firstLineChars="200" w:firstLine="480"/>
        <w:rPr>
          <w:rFonts w:ascii="宋体"/>
          <w:sz w:val="24"/>
        </w:rPr>
      </w:pPr>
      <w:r>
        <w:rPr>
          <w:rFonts w:ascii="宋体"/>
          <w:sz w:val="24"/>
        </w:rPr>
        <w:t>2</w:t>
      </w:r>
      <w:r>
        <w:rPr>
          <w:rFonts w:ascii="宋体" w:hint="eastAsia"/>
          <w:sz w:val="24"/>
        </w:rPr>
        <w:t>、项目联系方式</w:t>
      </w:r>
    </w:p>
    <w:p>
      <w:pPr>
        <w:spacing w:line="360" w:lineRule="auto"/>
        <w:ind w:firstLineChars="200" w:firstLine="480"/>
        <w:rPr>
          <w:rFonts w:ascii="宋体"/>
          <w:sz w:val="24"/>
        </w:rPr>
      </w:pPr>
      <w:r>
        <w:rPr>
          <w:rFonts w:ascii="宋体" w:hint="eastAsia"/>
          <w:sz w:val="24"/>
        </w:rPr>
        <w:t>项目联系人：</w:t>
      </w:r>
      <w:r>
        <w:rPr>
          <w:rFonts w:ascii="宋体"/>
          <w:sz w:val="24"/>
        </w:rPr>
        <w:t>包</w:t>
      </w:r>
      <w:r>
        <w:rPr>
          <w:rFonts w:ascii="宋体" w:hint="eastAsia"/>
          <w:sz w:val="24"/>
        </w:rPr>
        <w:t>老师，</w:t>
      </w:r>
      <w:r>
        <w:rPr>
          <w:rFonts w:ascii="宋体"/>
          <w:sz w:val="24"/>
        </w:rPr>
        <w:t>023-67709383</w:t>
      </w:r>
    </w:p>
    <w:p>
      <w:pPr>
        <w:spacing w:line="360" w:lineRule="auto"/>
        <w:ind w:firstLineChars="200" w:firstLine="480"/>
        <w:rPr>
          <w:rFonts w:ascii="宋体"/>
          <w:sz w:val="24"/>
        </w:rPr>
      </w:pPr>
    </w:p>
    <w:p>
      <w:pPr>
        <w:pStyle w:val="1"/>
        <w:tabs>
          <w:tab w:val="left" w:pos="432"/>
        </w:tabs>
        <w:rPr>
          <w:rFonts w:ascii="宋体" w:eastAsia="宋体"/>
          <w:b/>
          <w:sz w:val="44"/>
          <w:szCs w:val="44"/>
        </w:rPr>
      </w:pPr>
      <w:bookmarkStart w:id="2" w:name="_Toc520799359"/>
      <w:r>
        <w:rPr>
          <w:rFonts w:ascii="宋体" w:eastAsia="宋体"/>
          <w:b/>
          <w:sz w:val="44"/>
          <w:szCs w:val="44"/>
        </w:rPr>
        <w:br w:type="page"/>
      </w:r>
      <w:bookmarkStart w:id="3" w:name="_Toc116306875"/>
      <w:r>
        <w:rPr>
          <w:rFonts w:ascii="宋体" w:eastAsia="宋体" w:hint="eastAsia"/>
          <w:b/>
          <w:sz w:val="44"/>
          <w:szCs w:val="44"/>
        </w:rPr>
        <w:t>第二章</w:t>
      </w:r>
      <w:r>
        <w:rPr>
          <w:rFonts w:ascii="宋体" w:eastAsia="宋体"/>
          <w:b/>
          <w:sz w:val="44"/>
          <w:szCs w:val="44"/>
        </w:rPr>
        <w:t xml:space="preserve">  </w:t>
      </w:r>
      <w:r>
        <w:rPr>
          <w:rFonts w:ascii="宋体" w:eastAsia="宋体" w:hint="eastAsia"/>
          <w:b/>
          <w:sz w:val="44"/>
          <w:szCs w:val="44"/>
        </w:rPr>
        <w:t>比选须知</w:t>
      </w:r>
      <w:bookmarkEnd w:id="2"/>
      <w:bookmarkEnd w:id="3"/>
    </w:p>
    <w:p>
      <w:pPr>
        <w:spacing w:afterLines="50" w:after="120"/>
        <w:jc w:val="center"/>
        <w:rPr>
          <w:b/>
          <w:sz w:val="28"/>
          <w:szCs w:val="28"/>
        </w:rPr>
      </w:pPr>
      <w:bookmarkStart w:id="4" w:name="_Toc12890610"/>
      <w:bookmarkStart w:id="5" w:name="_Toc76661224"/>
      <w:r>
        <w:rPr>
          <w:rFonts w:ascii="宋体" w:hint="eastAsia"/>
          <w:sz w:val="24"/>
          <w:szCs w:val="21"/>
        </w:rPr>
        <w:t>供应商须知前附表</w:t>
      </w:r>
      <w:bookmarkEnd w:id="4"/>
      <w:bookmarkEnd w:id="5"/>
    </w:p>
    <w:p>
      <w:pPr>
        <w:spacing w:afterLines="50" w:after="120"/>
        <w:ind w:left="840" w:hangingChars="350" w:hanging="840"/>
        <w:jc w:val="left"/>
        <w:rPr>
          <w:rFonts w:ascii="宋体"/>
          <w:sz w:val="24"/>
        </w:rPr>
      </w:pPr>
      <w:r>
        <w:rPr>
          <w:rFonts w:ascii="宋体" w:hint="eastAsia"/>
          <w:sz w:val="24"/>
        </w:rPr>
        <w:t>注：</w:t>
      </w:r>
      <w:r>
        <w:rPr>
          <w:rFonts w:ascii="宋体"/>
          <w:sz w:val="24"/>
        </w:rPr>
        <w:t>1</w:t>
      </w:r>
      <w:r>
        <w:rPr>
          <w:rFonts w:ascii="宋体" w:hint="eastAsia"/>
          <w:sz w:val="24"/>
        </w:rPr>
        <w:t>、本须知前附表是对供应商须知的修改和补充，如有矛盾，均以本表为准。</w:t>
      </w:r>
    </w:p>
    <w:p>
      <w:pPr>
        <w:spacing w:afterLines="50" w:after="120"/>
        <w:ind w:left="840" w:hangingChars="350" w:hanging="840"/>
        <w:jc w:val="left"/>
      </w:pPr>
      <w:r>
        <w:rPr>
          <w:rFonts w:ascii="宋体"/>
          <w:sz w:val="24"/>
        </w:rPr>
        <w:t xml:space="preserve">    2</w:t>
      </w:r>
      <w:r>
        <w:rPr>
          <w:rFonts w:ascii="宋体" w:hint="eastAsia"/>
          <w:sz w:val="24"/>
        </w:rPr>
        <w:t>、本附表中“★”标志的为实质性条款，如有其中一项不符合则响应文件将被拒绝。</w:t>
      </w:r>
    </w:p>
    <w:tbl>
      <w:tblPr>
        <w:jc w:val="center"/>
        <w:tblW w:w="9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91"/>
        <w:gridCol w:w="2438"/>
        <w:gridCol w:w="6212"/>
      </w:tblGrid>
      <w:tr>
        <w:trPr>
          <w:trHeight w:val="454"/>
          <w:tblHeader/>
        </w:trPr>
        <w:tc>
          <w:tcPr>
            <w:tcW w:w="1091" w:type="dxa"/>
            <w:noWrap/>
            <w:vAlign w:val="center"/>
          </w:tcPr>
          <w:p>
            <w:pPr>
              <w:pStyle w:val="21"/>
              <w:adjustRightInd w:val="0"/>
              <w:snapToGrid w:val="0"/>
              <w:spacing w:line="360" w:lineRule="exact"/>
              <w:jc w:val="center"/>
              <w:rPr>
                <w:sz w:val="24"/>
                <w:szCs w:val="24"/>
              </w:rPr>
            </w:pPr>
            <w:r>
              <w:rPr>
                <w:rFonts w:hint="eastAsia"/>
                <w:sz w:val="24"/>
                <w:szCs w:val="24"/>
              </w:rPr>
              <w:t>条款号</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类别</w:t>
            </w:r>
          </w:p>
        </w:tc>
        <w:tc>
          <w:tcPr>
            <w:tcW w:w="6212" w:type="dxa"/>
            <w:noWrap/>
            <w:vAlign w:val="center"/>
          </w:tcPr>
          <w:p>
            <w:pPr>
              <w:pStyle w:val="21"/>
              <w:adjustRightInd w:val="0"/>
              <w:snapToGrid w:val="0"/>
              <w:spacing w:line="360" w:lineRule="exact"/>
              <w:jc w:val="center"/>
              <w:rPr>
                <w:sz w:val="24"/>
                <w:szCs w:val="24"/>
              </w:rPr>
            </w:pPr>
            <w:r>
              <w:rPr>
                <w:rFonts w:hint="eastAsia"/>
                <w:sz w:val="24"/>
                <w:szCs w:val="24"/>
              </w:rPr>
              <w:t>内容说明</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1</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采购人</w:t>
            </w:r>
          </w:p>
        </w:tc>
        <w:tc>
          <w:tcPr>
            <w:tcW w:w="6212" w:type="dxa"/>
            <w:noWrap/>
            <w:vAlign w:val="center"/>
          </w:tcPr>
          <w:p>
            <w:pPr>
              <w:pStyle w:val="21"/>
              <w:adjustRightInd w:val="0"/>
              <w:snapToGrid w:val="0"/>
              <w:spacing w:line="360" w:lineRule="exact"/>
              <w:rPr>
                <w:sz w:val="24"/>
                <w:szCs w:val="24"/>
              </w:rPr>
            </w:pPr>
            <w:r>
              <w:rPr>
                <w:rFonts w:hint="eastAsia"/>
                <w:bCs/>
                <w:sz w:val="24"/>
                <w:szCs w:val="24"/>
              </w:rPr>
              <w:t>中华人民共和国重庆江北机场海关</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2</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项目名称</w:t>
            </w:r>
          </w:p>
        </w:tc>
        <w:tc>
          <w:tcPr>
            <w:tcW w:w="6212" w:type="dxa"/>
            <w:noWrap/>
            <w:vAlign w:val="center"/>
          </w:tcPr>
          <w:p>
            <w:pPr>
              <w:pStyle w:val="21"/>
              <w:adjustRightInd w:val="0"/>
              <w:snapToGrid w:val="0"/>
              <w:spacing w:line="360" w:lineRule="exact"/>
              <w:rPr>
                <w:sz w:val="24"/>
              </w:rPr>
            </w:pPr>
            <w:r>
              <w:rPr>
                <w:rFonts w:cs="Arial" w:hint="eastAsia"/>
                <w:bCs/>
                <w:kern w:val="0"/>
                <w:sz w:val="24"/>
              </w:rPr>
              <w:t>重庆江北机场海关手持式X荧光光谱仪采购项目（第二次）</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3</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★单价限价</w:t>
            </w:r>
          </w:p>
        </w:tc>
        <w:tc>
          <w:tcPr>
            <w:tcW w:w="6212" w:type="dxa"/>
            <w:noWrap/>
            <w:vAlign w:val="center"/>
          </w:tcPr>
          <w:p>
            <w:pPr>
              <w:pStyle w:val="21"/>
              <w:adjustRightInd w:val="0"/>
              <w:snapToGrid w:val="0"/>
              <w:spacing w:line="360" w:lineRule="exact"/>
              <w:rPr>
                <w:sz w:val="24"/>
                <w:szCs w:val="24"/>
              </w:rPr>
            </w:pPr>
            <w:r>
              <w:rPr>
                <w:rFonts w:cs="宋体" w:hint="eastAsia"/>
                <w:kern w:val="0"/>
                <w:sz w:val="24"/>
              </w:rPr>
              <w:t>本项目预算金额</w:t>
            </w:r>
            <w:r>
              <w:rPr>
                <w:rFonts w:cs="宋体"/>
                <w:kern w:val="0"/>
                <w:sz w:val="24"/>
              </w:rPr>
              <w:t>24</w:t>
            </w:r>
            <w:r>
              <w:rPr>
                <w:rFonts w:cs="宋体" w:hint="eastAsia"/>
                <w:kern w:val="0"/>
                <w:sz w:val="24"/>
              </w:rPr>
              <w:t>万元。</w:t>
            </w:r>
          </w:p>
        </w:tc>
      </w:tr>
      <w:tr>
        <w:trPr>
          <w:trHeight w:val="454"/>
        </w:trPr>
        <w:tc>
          <w:tcPr>
            <w:tcW w:w="9741" w:type="dxa"/>
            <w:gridSpan w:val="3"/>
            <w:noWrap/>
            <w:vAlign w:val="center"/>
          </w:tcPr>
          <w:p>
            <w:pPr>
              <w:pStyle w:val="21"/>
              <w:adjustRightInd w:val="0"/>
              <w:snapToGrid w:val="0"/>
              <w:spacing w:line="360" w:lineRule="exact"/>
              <w:jc w:val="center"/>
              <w:rPr>
                <w:sz w:val="24"/>
                <w:szCs w:val="24"/>
              </w:rPr>
            </w:pPr>
            <w:r>
              <w:rPr>
                <w:rFonts w:hint="eastAsia"/>
                <w:sz w:val="24"/>
                <w:szCs w:val="24"/>
              </w:rPr>
              <w:t>参与比选的基本原则</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4</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★供应商资质要求</w:t>
            </w:r>
          </w:p>
        </w:tc>
        <w:tc>
          <w:tcPr>
            <w:tcW w:w="6212" w:type="dxa"/>
            <w:noWrap/>
            <w:vAlign w:val="center"/>
          </w:tcPr>
          <w:p>
            <w:pPr>
              <w:spacing w:line="360" w:lineRule="exact"/>
              <w:jc w:val="left"/>
              <w:rPr>
                <w:rFonts w:ascii="宋体"/>
                <w:sz w:val="24"/>
              </w:rPr>
            </w:pPr>
            <w:r>
              <w:rPr>
                <w:rFonts w:ascii="宋体" w:hint="eastAsia"/>
                <w:sz w:val="24"/>
              </w:rPr>
              <w:t>详见比选通知</w:t>
            </w:r>
          </w:p>
        </w:tc>
      </w:tr>
      <w:tr>
        <w:trPr>
          <w:trHeight w:val="454"/>
        </w:trPr>
        <w:tc>
          <w:tcPr>
            <w:tcW w:w="9741" w:type="dxa"/>
            <w:gridSpan w:val="3"/>
            <w:noWrap/>
            <w:vAlign w:val="center"/>
          </w:tcPr>
          <w:p>
            <w:pPr>
              <w:pStyle w:val="21"/>
              <w:adjustRightInd w:val="0"/>
              <w:snapToGrid w:val="0"/>
              <w:spacing w:line="360" w:lineRule="exact"/>
              <w:jc w:val="center"/>
              <w:rPr>
                <w:sz w:val="24"/>
                <w:szCs w:val="24"/>
              </w:rPr>
            </w:pPr>
            <w:r>
              <w:rPr>
                <w:rFonts w:hint="eastAsia"/>
                <w:sz w:val="24"/>
                <w:szCs w:val="24"/>
              </w:rPr>
              <w:t>响应文件编写</w:t>
            </w:r>
          </w:p>
        </w:tc>
      </w:tr>
      <w:tr>
        <w:trPr>
          <w:trHeight w:val="2805"/>
        </w:trPr>
        <w:tc>
          <w:tcPr>
            <w:tcW w:w="1091" w:type="dxa"/>
            <w:noWrap/>
            <w:vAlign w:val="center"/>
          </w:tcPr>
          <w:p>
            <w:pPr>
              <w:pStyle w:val="21"/>
              <w:adjustRightInd w:val="0"/>
              <w:snapToGrid w:val="0"/>
              <w:spacing w:line="360" w:lineRule="exact"/>
              <w:jc w:val="center"/>
              <w:rPr>
                <w:sz w:val="24"/>
                <w:szCs w:val="24"/>
              </w:rPr>
            </w:pPr>
            <w:r>
              <w:rPr>
                <w:sz w:val="24"/>
                <w:szCs w:val="24"/>
              </w:rPr>
              <w:t>5</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响应报价</w:t>
            </w:r>
          </w:p>
        </w:tc>
        <w:tc>
          <w:tcPr>
            <w:tcW w:w="6212" w:type="dxa"/>
            <w:noWrap/>
            <w:vAlign w:val="center"/>
          </w:tcPr>
          <w:p>
            <w:pPr>
              <w:spacing w:line="360" w:lineRule="exact"/>
              <w:ind w:firstLine="2"/>
              <w:rPr>
                <w:rFonts w:ascii="宋体"/>
                <w:sz w:val="24"/>
              </w:rPr>
            </w:pPr>
            <w:r>
              <w:rPr>
                <w:rFonts w:ascii="宋体"/>
                <w:sz w:val="24"/>
              </w:rPr>
              <w:t>1.</w:t>
            </w:r>
            <w:r>
              <w:rPr>
                <w:rFonts w:ascii="宋体" w:hint="eastAsia"/>
                <w:sz w:val="24"/>
              </w:rPr>
              <w:t>报价以人民币元为计算单位。</w:t>
            </w:r>
          </w:p>
          <w:p>
            <w:pPr>
              <w:spacing w:line="360" w:lineRule="exact"/>
              <w:ind w:firstLine="2"/>
              <w:rPr>
                <w:rFonts w:ascii="宋体"/>
                <w:sz w:val="24"/>
              </w:rPr>
            </w:pPr>
            <w:r>
              <w:rPr>
                <w:rFonts w:ascii="宋体"/>
                <w:sz w:val="24"/>
              </w:rPr>
              <w:t>2.</w:t>
            </w:r>
            <w:r>
              <w:rPr>
                <w:rFonts w:ascii="宋体" w:hint="eastAsia"/>
                <w:sz w:val="24"/>
              </w:rPr>
              <w:t>按要求的格式内容填写报价。</w:t>
            </w:r>
          </w:p>
          <w:p>
            <w:pPr>
              <w:spacing w:line="360" w:lineRule="exact"/>
              <w:ind w:firstLine="2"/>
              <w:rPr>
                <w:rFonts w:ascii="宋体"/>
                <w:sz w:val="24"/>
              </w:rPr>
            </w:pPr>
            <w:r>
              <w:rPr>
                <w:rFonts w:ascii="宋体"/>
                <w:sz w:val="24"/>
              </w:rPr>
              <w:t>3.</w:t>
            </w:r>
            <w:r>
              <w:rPr>
                <w:rFonts w:ascii="宋体" w:hint="eastAsia"/>
                <w:sz w:val="24"/>
              </w:rPr>
              <w:t>响应报价为项目现场交货总价，包括但不限于响应产品设计、制作、运输、保险、安装调试、验收、培训、集成以及各项税费等费用。</w:t>
            </w:r>
            <w:r>
              <w:rPr>
                <w:rFonts w:ascii="宋体"/>
                <w:sz w:val="24"/>
              </w:rPr>
              <w:t>4.</w:t>
            </w:r>
            <w:r>
              <w:rPr>
                <w:rFonts w:ascii="宋体" w:hint="eastAsia"/>
                <w:sz w:val="24"/>
              </w:rPr>
              <w:t>响应报价为固定总价，如果成交，在采购合同有效期内不允许变动，供应商的报价应充分考虑在采购合同有效期内的风险因素。</w:t>
            </w:r>
          </w:p>
          <w:p>
            <w:pPr>
              <w:pStyle w:val="21"/>
              <w:adjustRightInd w:val="0"/>
              <w:snapToGrid w:val="0"/>
              <w:spacing w:line="360" w:lineRule="exact"/>
              <w:rPr>
                <w:sz w:val="24"/>
              </w:rPr>
            </w:pPr>
            <w:r>
              <w:rPr>
                <w:sz w:val="24"/>
                <w:szCs w:val="24"/>
              </w:rPr>
              <w:t>5.</w:t>
            </w:r>
            <w:r>
              <w:rPr>
                <w:rFonts w:hint="eastAsia"/>
                <w:sz w:val="24"/>
                <w:szCs w:val="24"/>
              </w:rPr>
              <w:t>一个供应商不得提交两个或两个以上不同的响应报价。</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6</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w:t>
            </w:r>
            <w:r>
              <w:rPr>
                <w:rFonts w:hint="eastAsia"/>
                <w:bCs/>
                <w:sz w:val="24"/>
                <w:szCs w:val="24"/>
              </w:rPr>
              <w:t>报价有效期</w:t>
            </w:r>
          </w:p>
        </w:tc>
        <w:tc>
          <w:tcPr>
            <w:tcW w:w="6212" w:type="dxa"/>
            <w:noWrap/>
            <w:vAlign w:val="center"/>
          </w:tcPr>
          <w:p>
            <w:pPr>
              <w:pStyle w:val="21"/>
              <w:adjustRightInd w:val="0"/>
              <w:snapToGrid w:val="0"/>
              <w:spacing w:line="360" w:lineRule="exact"/>
              <w:rPr>
                <w:sz w:val="24"/>
                <w:szCs w:val="24"/>
              </w:rPr>
            </w:pPr>
            <w:r>
              <w:rPr>
                <w:rFonts w:cs="Arial"/>
                <w:b/>
                <w:kern w:val="0"/>
                <w:sz w:val="24"/>
                <w:szCs w:val="24"/>
              </w:rPr>
              <w:t>90</w:t>
            </w:r>
            <w:r>
              <w:rPr>
                <w:rFonts w:hint="eastAsia"/>
                <w:bCs/>
                <w:sz w:val="24"/>
                <w:szCs w:val="24"/>
              </w:rPr>
              <w:t>日历天（从响应文件递交之日起计算）。</w:t>
            </w:r>
          </w:p>
        </w:tc>
      </w:tr>
      <w:tr>
        <w:trPr>
          <w:trHeight w:val="454"/>
        </w:trPr>
        <w:tc>
          <w:tcPr>
            <w:tcW w:w="9741" w:type="dxa"/>
            <w:gridSpan w:val="3"/>
            <w:noWrap/>
            <w:vAlign w:val="center"/>
          </w:tcPr>
          <w:p>
            <w:pPr>
              <w:pStyle w:val="21"/>
              <w:adjustRightInd w:val="0"/>
              <w:snapToGrid w:val="0"/>
              <w:spacing w:line="360" w:lineRule="exact"/>
              <w:jc w:val="center"/>
              <w:rPr>
                <w:sz w:val="24"/>
                <w:szCs w:val="24"/>
              </w:rPr>
            </w:pPr>
            <w:r>
              <w:rPr>
                <w:rFonts w:hint="eastAsia"/>
                <w:sz w:val="24"/>
                <w:szCs w:val="24"/>
              </w:rPr>
              <w:t>响应文件的递交</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7</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响应文件份数</w:t>
            </w:r>
          </w:p>
        </w:tc>
        <w:tc>
          <w:tcPr>
            <w:tcW w:w="6212" w:type="dxa"/>
            <w:noWrap/>
            <w:vAlign w:val="center"/>
          </w:tcPr>
          <w:p>
            <w:pPr>
              <w:pStyle w:val="21"/>
              <w:adjustRightInd w:val="0"/>
              <w:snapToGrid w:val="0"/>
              <w:spacing w:line="360" w:lineRule="exact"/>
              <w:rPr>
                <w:sz w:val="24"/>
                <w:szCs w:val="24"/>
              </w:rPr>
            </w:pPr>
            <w:r>
              <w:rPr>
                <w:rFonts w:hint="eastAsia"/>
                <w:sz w:val="24"/>
                <w:szCs w:val="24"/>
              </w:rPr>
              <w:t>响应文件正本</w:t>
            </w:r>
            <w:r>
              <w:rPr>
                <w:sz w:val="24"/>
                <w:szCs w:val="24"/>
              </w:rPr>
              <w:t>1</w:t>
            </w:r>
            <w:r>
              <w:rPr>
                <w:rFonts w:hint="eastAsia"/>
                <w:sz w:val="24"/>
                <w:szCs w:val="24"/>
              </w:rPr>
              <w:t>份，副本</w:t>
            </w:r>
            <w:r>
              <w:rPr>
                <w:sz w:val="24"/>
                <w:szCs w:val="24"/>
              </w:rPr>
              <w:t>1</w:t>
            </w:r>
            <w:r>
              <w:rPr>
                <w:rFonts w:hint="eastAsia"/>
                <w:sz w:val="24"/>
                <w:szCs w:val="24"/>
              </w:rPr>
              <w:t>份。</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8</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响应文件递交截止时间</w:t>
            </w:r>
          </w:p>
        </w:tc>
        <w:tc>
          <w:tcPr>
            <w:tcW w:w="6212" w:type="dxa"/>
            <w:noWrap/>
            <w:vAlign w:val="center"/>
          </w:tcPr>
          <w:p>
            <w:pPr>
              <w:pStyle w:val="21"/>
              <w:adjustRightInd w:val="0"/>
              <w:snapToGrid w:val="0"/>
              <w:spacing w:line="360" w:lineRule="exact"/>
              <w:rPr>
                <w:b/>
                <w:sz w:val="24"/>
                <w:szCs w:val="24"/>
              </w:rPr>
            </w:pPr>
            <w:r>
              <w:rPr>
                <w:rFonts w:hint="eastAsia"/>
                <w:sz w:val="24"/>
                <w:szCs w:val="24"/>
              </w:rPr>
              <w:t>详见比选通知</w:t>
            </w:r>
          </w:p>
        </w:tc>
      </w:tr>
      <w:tr>
        <w:trPr>
          <w:trHeight w:val="847"/>
        </w:trPr>
        <w:tc>
          <w:tcPr>
            <w:tcW w:w="1091" w:type="dxa"/>
            <w:noWrap/>
            <w:vAlign w:val="center"/>
          </w:tcPr>
          <w:p>
            <w:pPr>
              <w:pStyle w:val="21"/>
              <w:adjustRightInd w:val="0"/>
              <w:snapToGrid w:val="0"/>
              <w:spacing w:line="360" w:lineRule="exact"/>
              <w:jc w:val="center"/>
              <w:rPr>
                <w:sz w:val="24"/>
                <w:szCs w:val="24"/>
              </w:rPr>
            </w:pPr>
            <w:r>
              <w:rPr>
                <w:sz w:val="24"/>
                <w:szCs w:val="24"/>
              </w:rPr>
              <w:t>9</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项目会议日期、响应文件递交地点</w:t>
            </w:r>
          </w:p>
        </w:tc>
        <w:tc>
          <w:tcPr>
            <w:tcW w:w="6212" w:type="dxa"/>
            <w:noWrap/>
            <w:vAlign w:val="center"/>
          </w:tcPr>
          <w:p>
            <w:pPr>
              <w:pStyle w:val="21"/>
              <w:adjustRightInd w:val="0"/>
              <w:snapToGrid w:val="0"/>
              <w:spacing w:line="360" w:lineRule="exact"/>
              <w:rPr>
                <w:sz w:val="24"/>
                <w:szCs w:val="24"/>
              </w:rPr>
            </w:pPr>
            <w:r>
              <w:rPr>
                <w:rFonts w:hint="eastAsia"/>
                <w:sz w:val="24"/>
                <w:szCs w:val="24"/>
              </w:rPr>
              <w:t>详见比选通知</w:t>
            </w:r>
          </w:p>
        </w:tc>
      </w:tr>
      <w:tr>
        <w:trPr>
          <w:trHeight w:val="560"/>
        </w:trPr>
        <w:tc>
          <w:tcPr>
            <w:tcW w:w="9741" w:type="dxa"/>
            <w:gridSpan w:val="3"/>
            <w:noWrap/>
            <w:vAlign w:val="center"/>
          </w:tcPr>
          <w:p>
            <w:pPr>
              <w:pStyle w:val="21"/>
              <w:adjustRightInd w:val="0"/>
              <w:snapToGrid w:val="0"/>
              <w:spacing w:line="360" w:lineRule="exact"/>
              <w:jc w:val="center"/>
              <w:rPr>
                <w:sz w:val="24"/>
                <w:szCs w:val="24"/>
              </w:rPr>
            </w:pPr>
            <w:r>
              <w:rPr>
                <w:rFonts w:hint="eastAsia"/>
                <w:sz w:val="24"/>
                <w:szCs w:val="24"/>
              </w:rPr>
              <w:t>评审与推荐成交供应商原则</w:t>
            </w:r>
          </w:p>
        </w:tc>
      </w:tr>
      <w:tr>
        <w:trPr>
          <w:trHeight w:val="946"/>
        </w:trPr>
        <w:tc>
          <w:tcPr>
            <w:tcW w:w="1091" w:type="dxa"/>
            <w:noWrap/>
            <w:vAlign w:val="center"/>
          </w:tcPr>
          <w:p>
            <w:pPr>
              <w:pStyle w:val="21"/>
              <w:adjustRightInd w:val="0"/>
              <w:snapToGrid w:val="0"/>
              <w:spacing w:line="360" w:lineRule="exact"/>
              <w:jc w:val="center"/>
              <w:rPr>
                <w:sz w:val="24"/>
                <w:szCs w:val="24"/>
              </w:rPr>
            </w:pPr>
            <w:r>
              <w:rPr>
                <w:sz w:val="24"/>
                <w:szCs w:val="24"/>
              </w:rPr>
              <w:t>10</w:t>
            </w:r>
          </w:p>
        </w:tc>
        <w:tc>
          <w:tcPr>
            <w:tcW w:w="2438" w:type="dxa"/>
            <w:noWrap/>
            <w:vAlign w:val="center"/>
          </w:tcPr>
          <w:p>
            <w:pPr>
              <w:pStyle w:val="21"/>
              <w:adjustRightInd w:val="0"/>
              <w:snapToGrid w:val="0"/>
              <w:spacing w:line="360" w:lineRule="exact"/>
              <w:jc w:val="center"/>
              <w:rPr>
                <w:sz w:val="24"/>
                <w:szCs w:val="24"/>
              </w:rPr>
            </w:pPr>
            <w:r>
              <w:rPr>
                <w:rFonts w:hint="eastAsia"/>
                <w:sz w:val="24"/>
                <w:szCs w:val="24"/>
              </w:rPr>
              <w:t>评审办法及成交供应商的推荐原则</w:t>
            </w:r>
          </w:p>
        </w:tc>
        <w:tc>
          <w:tcPr>
            <w:tcW w:w="6212" w:type="dxa"/>
            <w:noWrap/>
            <w:vAlign w:val="center"/>
          </w:tcPr>
          <w:p>
            <w:pPr>
              <w:pStyle w:val="21"/>
              <w:adjustRightInd w:val="0"/>
              <w:snapToGrid w:val="0"/>
              <w:spacing w:line="360" w:lineRule="exact"/>
              <w:rPr>
                <w:sz w:val="24"/>
                <w:szCs w:val="24"/>
              </w:rPr>
            </w:pPr>
            <w:r>
              <w:rPr>
                <w:rFonts w:hint="eastAsia"/>
                <w:sz w:val="24"/>
                <w:szCs w:val="24"/>
              </w:rPr>
              <w:t>本项目根据货物和服务能满足采购文件实质性响应要求且综合评分由高到低的原则确定成交供应商。</w:t>
            </w:r>
          </w:p>
        </w:tc>
      </w:tr>
      <w:tr>
        <w:trPr>
          <w:trHeight w:val="552"/>
        </w:trPr>
        <w:tc>
          <w:tcPr>
            <w:tcW w:w="9741" w:type="dxa"/>
            <w:gridSpan w:val="3"/>
            <w:noWrap/>
            <w:vAlign w:val="center"/>
          </w:tcPr>
          <w:p>
            <w:pPr>
              <w:pStyle w:val="21"/>
              <w:adjustRightInd w:val="0"/>
              <w:snapToGrid w:val="0"/>
              <w:spacing w:line="360" w:lineRule="exact"/>
              <w:jc w:val="center"/>
              <w:rPr>
                <w:sz w:val="24"/>
                <w:szCs w:val="24"/>
              </w:rPr>
            </w:pPr>
            <w:r>
              <w:rPr>
                <w:rFonts w:hint="eastAsia"/>
                <w:sz w:val="24"/>
                <w:szCs w:val="24"/>
              </w:rPr>
              <w:t>授予合同</w:t>
            </w:r>
          </w:p>
        </w:tc>
      </w:tr>
      <w:tr>
        <w:trPr>
          <w:trHeight w:val="454"/>
        </w:trPr>
        <w:tc>
          <w:tcPr>
            <w:tcW w:w="1091" w:type="dxa"/>
            <w:noWrap/>
            <w:vAlign w:val="center"/>
          </w:tcPr>
          <w:p>
            <w:pPr>
              <w:pStyle w:val="21"/>
              <w:adjustRightInd w:val="0"/>
              <w:snapToGrid w:val="0"/>
              <w:spacing w:line="360" w:lineRule="exact"/>
              <w:jc w:val="center"/>
              <w:rPr>
                <w:sz w:val="24"/>
                <w:szCs w:val="24"/>
              </w:rPr>
            </w:pPr>
            <w:r>
              <w:rPr>
                <w:sz w:val="24"/>
                <w:szCs w:val="24"/>
              </w:rPr>
              <w:t>11</w:t>
            </w:r>
          </w:p>
        </w:tc>
        <w:tc>
          <w:tcPr>
            <w:tcW w:w="2438" w:type="dxa"/>
            <w:noWrap/>
            <w:vAlign w:val="center"/>
          </w:tcPr>
          <w:p>
            <w:pPr>
              <w:pStyle w:val="21"/>
              <w:adjustRightInd w:val="0"/>
              <w:snapToGrid w:val="0"/>
              <w:spacing w:line="360" w:lineRule="exact"/>
              <w:jc w:val="center"/>
              <w:rPr>
                <w:sz w:val="24"/>
                <w:szCs w:val="24"/>
              </w:rPr>
            </w:pPr>
            <w:r>
              <w:rPr>
                <w:rFonts w:hint="eastAsia"/>
                <w:bCs/>
                <w:sz w:val="24"/>
                <w:szCs w:val="24"/>
              </w:rPr>
              <w:t>履约保证金</w:t>
            </w:r>
          </w:p>
        </w:tc>
        <w:tc>
          <w:tcPr>
            <w:tcW w:w="6212" w:type="dxa"/>
            <w:noWrap/>
            <w:vAlign w:val="center"/>
          </w:tcPr>
          <w:p>
            <w:pPr>
              <w:pStyle w:val="21"/>
              <w:adjustRightInd w:val="0"/>
              <w:snapToGrid w:val="0"/>
              <w:spacing w:line="360" w:lineRule="exact"/>
              <w:rPr>
                <w:sz w:val="24"/>
                <w:szCs w:val="24"/>
              </w:rPr>
            </w:pPr>
            <w:r>
              <w:rPr>
                <w:rFonts w:hint="eastAsia"/>
                <w:sz w:val="24"/>
                <w:szCs w:val="24"/>
              </w:rPr>
              <w:t>无</w:t>
            </w:r>
          </w:p>
        </w:tc>
      </w:tr>
      <w:tr>
        <w:trPr>
          <w:trHeight w:val="454"/>
        </w:trPr>
        <w:tc>
          <w:tcPr>
            <w:tcW w:w="9741" w:type="dxa"/>
            <w:gridSpan w:val="3"/>
            <w:noWrap/>
            <w:vAlign w:val="center"/>
          </w:tcPr>
          <w:p>
            <w:pPr>
              <w:pStyle w:val="21"/>
              <w:adjustRightInd w:val="0"/>
              <w:snapToGrid w:val="0"/>
              <w:spacing w:line="360" w:lineRule="exact"/>
              <w:jc w:val="center"/>
              <w:rPr>
                <w:sz w:val="24"/>
                <w:szCs w:val="24"/>
              </w:rPr>
            </w:pPr>
            <w:r>
              <w:rPr>
                <w:rFonts w:hint="eastAsia"/>
                <w:bCs/>
                <w:sz w:val="24"/>
                <w:szCs w:val="24"/>
              </w:rPr>
              <w:t>合同文本主要条款</w:t>
            </w:r>
          </w:p>
        </w:tc>
      </w:tr>
      <w:tr>
        <w:trPr>
          <w:trHeight w:val="1674"/>
        </w:trPr>
        <w:tc>
          <w:tcPr>
            <w:tcW w:w="1091" w:type="dxa"/>
            <w:noWrap/>
            <w:vAlign w:val="center"/>
          </w:tcPr>
          <w:p>
            <w:pPr>
              <w:spacing w:line="360" w:lineRule="auto"/>
              <w:jc w:val="center"/>
              <w:rPr>
                <w:rFonts w:ascii="宋体"/>
                <w:bCs/>
                <w:sz w:val="24"/>
              </w:rPr>
            </w:pPr>
            <w:r>
              <w:rPr>
                <w:rFonts w:ascii="宋体"/>
                <w:bCs/>
                <w:sz w:val="24"/>
              </w:rPr>
              <w:t>12</w:t>
            </w:r>
          </w:p>
        </w:tc>
        <w:tc>
          <w:tcPr>
            <w:tcW w:w="2438" w:type="dxa"/>
            <w:noWrap/>
            <w:vAlign w:val="center"/>
          </w:tcPr>
          <w:p>
            <w:pPr>
              <w:spacing w:line="360" w:lineRule="auto"/>
              <w:jc w:val="center"/>
              <w:rPr>
                <w:rFonts w:ascii="宋体"/>
                <w:bCs/>
                <w:sz w:val="24"/>
              </w:rPr>
            </w:pPr>
            <w:r>
              <w:rPr>
                <w:rFonts w:ascii="宋体" w:hint="eastAsia"/>
                <w:sz w:val="24"/>
              </w:rPr>
              <w:t>★</w:t>
            </w:r>
            <w:r>
              <w:rPr>
                <w:rFonts w:ascii="宋体" w:hint="eastAsia"/>
                <w:bCs/>
                <w:sz w:val="24"/>
              </w:rPr>
              <w:t>付款条件</w:t>
            </w:r>
          </w:p>
        </w:tc>
        <w:tc>
          <w:tcPr>
            <w:tcW w:w="6212" w:type="dxa"/>
            <w:noWrap/>
            <w:vAlign w:val="center"/>
          </w:tcPr>
          <w:p>
            <w:pPr>
              <w:spacing w:line="380" w:lineRule="exact"/>
              <w:jc w:val="left"/>
              <w:rPr>
                <w:rFonts w:ascii="宋体"/>
                <w:sz w:val="24"/>
              </w:rPr>
            </w:pPr>
            <w:r>
              <w:rPr>
                <w:rFonts w:ascii="宋体"/>
                <w:sz w:val="24"/>
              </w:rPr>
              <w:t>1.</w:t>
            </w:r>
            <w:r>
              <w:rPr>
                <w:rFonts w:ascii="宋体" w:hint="eastAsia"/>
                <w:sz w:val="24"/>
              </w:rPr>
              <w:t>本合同以人民币结算。</w:t>
            </w:r>
          </w:p>
          <w:p>
            <w:pPr>
              <w:pStyle w:val="3"/>
              <w:autoSpaceDN w:val="0"/>
              <w:rPr>
                <w:rFonts w:ascii="宋体"/>
                <w:b w:val="0"/>
                <w:bCs w:val="0"/>
                <w:sz w:val="24"/>
                <w:szCs w:val="24"/>
              </w:rPr>
            </w:pPr>
            <w:r>
              <w:rPr>
                <w:rFonts w:ascii="宋体"/>
                <w:b w:val="0"/>
                <w:bCs w:val="0"/>
                <w:sz w:val="24"/>
                <w:szCs w:val="24"/>
              </w:rPr>
              <w:t>2.</w:t>
            </w:r>
            <w:r>
              <w:rPr>
                <w:rFonts w:ascii="宋体" w:hint="eastAsia"/>
                <w:b w:val="0"/>
                <w:bCs w:val="0"/>
                <w:sz w:val="24"/>
                <w:szCs w:val="24"/>
              </w:rPr>
              <w:t>付款方式：</w:t>
            </w:r>
            <w:bookmarkStart w:id="6" w:name="_Toc12890613"/>
          </w:p>
          <w:p>
            <w:pPr>
              <w:pStyle w:val="3"/>
              <w:autoSpaceDN w:val="0"/>
              <w:rPr>
                <w:rFonts w:ascii="宋体"/>
                <w:b w:val="0"/>
                <w:bCs w:val="0"/>
                <w:sz w:val="24"/>
                <w:szCs w:val="24"/>
              </w:rPr>
            </w:pPr>
            <w:r>
              <w:rPr>
                <w:rFonts w:ascii="宋体" w:hint="eastAsia"/>
                <w:b w:val="0"/>
                <w:bCs w:val="0"/>
                <w:sz w:val="24"/>
                <w:szCs w:val="24"/>
              </w:rPr>
              <w:t>（1）供应商产品交货且经采购人验收合格后，向采购人提供货物价款的增值税普通发票，采购人在收到增值税普通发票10个工作日内支付费用。</w:t>
            </w:r>
            <w:bookmarkEnd w:id="6"/>
          </w:p>
          <w:p>
            <w:pPr>
              <w:pStyle w:val="3"/>
              <w:autoSpaceDN w:val="0"/>
              <w:rPr>
                <w:rFonts w:ascii="宋体"/>
                <w:sz w:val="24"/>
              </w:rPr>
            </w:pPr>
            <w:r>
              <w:rPr>
                <w:rFonts w:ascii="宋体" w:hint="eastAsia"/>
                <w:b w:val="0"/>
                <w:bCs w:val="0"/>
                <w:sz w:val="24"/>
                <w:szCs w:val="24"/>
              </w:rPr>
              <w:t>（2）因财政集中支付延误时间不计算在内，供应商提交付款单据迟延或缺失的，采购人有权相应顺延付款期限。</w:t>
            </w:r>
          </w:p>
        </w:tc>
      </w:tr>
      <w:tr>
        <w:trPr>
          <w:trHeight w:val="7322"/>
        </w:trPr>
        <w:tc>
          <w:tcPr>
            <w:tcW w:w="1091" w:type="dxa"/>
            <w:noWrap/>
            <w:vAlign w:val="center"/>
          </w:tcPr>
          <w:p>
            <w:pPr>
              <w:spacing w:line="360" w:lineRule="auto"/>
              <w:jc w:val="center"/>
              <w:rPr>
                <w:rFonts w:ascii="宋体"/>
                <w:sz w:val="24"/>
              </w:rPr>
            </w:pPr>
            <w:r>
              <w:rPr>
                <w:rFonts w:ascii="宋体"/>
                <w:sz w:val="24"/>
              </w:rPr>
              <w:t>15</w:t>
            </w:r>
          </w:p>
        </w:tc>
        <w:tc>
          <w:tcPr>
            <w:tcW w:w="2438" w:type="dxa"/>
            <w:noWrap/>
            <w:vAlign w:val="center"/>
          </w:tcPr>
          <w:p>
            <w:pPr>
              <w:spacing w:line="360" w:lineRule="auto"/>
              <w:jc w:val="center"/>
              <w:rPr>
                <w:rFonts w:ascii="宋体"/>
                <w:sz w:val="24"/>
              </w:rPr>
            </w:pPr>
            <w:r>
              <w:rPr>
                <w:rFonts w:ascii="宋体" w:cs="宋体" w:hint="eastAsia"/>
                <w:sz w:val="24"/>
              </w:rPr>
              <w:t>★</w:t>
            </w:r>
            <w:r>
              <w:rPr>
                <w:rFonts w:ascii="宋体" w:hint="eastAsia"/>
                <w:b/>
                <w:sz w:val="24"/>
              </w:rPr>
              <w:t>低于成本价不正当竞争预防措施（实质性要求）</w:t>
            </w:r>
          </w:p>
        </w:tc>
        <w:tc>
          <w:tcPr>
            <w:tcW w:w="6212" w:type="dxa"/>
            <w:noWrap/>
            <w:vAlign w:val="center"/>
          </w:tcPr>
          <w:p>
            <w:pPr>
              <w:spacing w:line="380" w:lineRule="exact"/>
              <w:jc w:val="left"/>
              <w:rPr>
                <w:rFonts w:ascii="宋体"/>
                <w:sz w:val="24"/>
              </w:rPr>
            </w:pPr>
            <w:r>
              <w:rPr>
                <w:rFonts w:ascii="宋体" w:hint="eastAsia"/>
                <w:sz w:val="24"/>
              </w:rPr>
              <w:t>在评审过程中，供应商报价低于最高限价</w:t>
            </w:r>
            <w:r>
              <w:rPr>
                <w:rFonts w:ascii="宋体"/>
                <w:sz w:val="24"/>
              </w:rPr>
              <w:t>50%</w:t>
            </w:r>
            <w:r>
              <w:rPr>
                <w:rFonts w:ascii="宋体" w:hint="eastAsia"/>
                <w:sz w:val="24"/>
              </w:rPr>
              <w:t>或者其他有效供应商报价算术平均价</w:t>
            </w:r>
            <w:r>
              <w:rPr>
                <w:rFonts w:ascii="宋体"/>
                <w:sz w:val="24"/>
              </w:rPr>
              <w:t>40%</w:t>
            </w:r>
            <w:r>
              <w:rPr>
                <w:rFonts w:ascii="宋体" w:hint="eastAsia"/>
                <w:sz w:val="24"/>
              </w:rPr>
              <w:t>，有可能影响服务质量或者不能诚信履约的，评审小组可以要求其在比选现场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spacing w:line="380" w:lineRule="exact"/>
              <w:jc w:val="left"/>
              <w:rPr>
                <w:rFonts w:ascii="宋体"/>
                <w:sz w:val="24"/>
              </w:rPr>
            </w:pPr>
            <w:r>
              <w:rPr>
                <w:rFonts w:ascii="宋体" w:hint="eastAsia"/>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18"/>
              <w:spacing w:line="380" w:lineRule="exact"/>
              <w:rPr>
                <w:rFonts w:ascii="宋体" w:eastAsia="宋体" w:cs="宋体"/>
                <w:bCs/>
                <w:kern w:val="0"/>
                <w:sz w:val="24"/>
              </w:rPr>
            </w:pPr>
            <w:r>
              <w:rPr>
                <w:rFonts w:ascii="宋体" w:eastAsia="宋体" w:hint="eastAsia"/>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响应文件作为无效处理。</w:t>
            </w:r>
          </w:p>
        </w:tc>
      </w:tr>
    </w:tbl>
    <w:p>
      <w:pPr>
        <w:adjustRightInd w:val="0"/>
        <w:snapToGrid w:val="0"/>
        <w:spacing w:line="360" w:lineRule="auto"/>
        <w:ind w:firstLineChars="200" w:firstLine="480"/>
        <w:rPr>
          <w:rFonts w:ascii="宋体"/>
          <w:sz w:val="24"/>
        </w:rPr>
      </w:pPr>
    </w:p>
    <w:p>
      <w:pPr>
        <w:spacing w:afterLines="50" w:after="120"/>
        <w:jc w:val="center"/>
        <w:rPr>
          <w:rFonts w:ascii="宋体"/>
          <w:sz w:val="24"/>
          <w:szCs w:val="21"/>
        </w:rPr>
      </w:pPr>
      <w:r>
        <w:rPr>
          <w:rFonts w:ascii="宋体" w:hint="eastAsia"/>
          <w:sz w:val="24"/>
          <w:szCs w:val="21"/>
        </w:rPr>
        <w:t>一、总则</w:t>
      </w:r>
      <w:bookmarkStart w:id="7" w:name="_Toc249525161"/>
      <w:bookmarkStart w:id="8" w:name="_Toc184043014"/>
      <w:bookmarkStart w:id="9" w:name="_Toc56534766"/>
      <w:bookmarkStart w:id="10" w:name="_Toc249515280"/>
      <w:bookmarkStart w:id="11" w:name="_Toc12890616"/>
      <w:bookmarkStart w:id="12" w:name="_Toc249515392"/>
    </w:p>
    <w:p>
      <w:pPr>
        <w:pStyle w:val="2"/>
        <w:adjustRightInd w:val="0"/>
        <w:snapToGrid w:val="0"/>
        <w:spacing w:before="0" w:after="0" w:line="360" w:lineRule="auto"/>
        <w:jc w:val="left"/>
        <w:rPr>
          <w:rFonts w:ascii="宋体"/>
          <w:sz w:val="24"/>
          <w:szCs w:val="21"/>
        </w:rPr>
      </w:pPr>
      <w:r>
        <w:rPr>
          <w:rFonts w:ascii="宋体"/>
          <w:sz w:val="24"/>
          <w:szCs w:val="21"/>
        </w:rPr>
        <w:t>1.</w:t>
      </w:r>
      <w:r>
        <w:rPr>
          <w:rFonts w:ascii="宋体" w:hint="eastAsia"/>
          <w:sz w:val="24"/>
          <w:szCs w:val="21"/>
        </w:rPr>
        <w:t>项目说明</w:t>
      </w:r>
      <w:bookmarkEnd w:id="7"/>
      <w:bookmarkEnd w:id="8"/>
      <w:bookmarkEnd w:id="9"/>
      <w:bookmarkEnd w:id="10"/>
      <w:bookmarkEnd w:id="11"/>
      <w:bookmarkEnd w:id="12"/>
    </w:p>
    <w:p>
      <w:pPr>
        <w:pStyle w:val="34"/>
        <w:widowControl w:val="0"/>
        <w:numPr>
          <w:ilvl w:val="1"/>
          <w:numId w:val="1"/>
        </w:numPr>
        <w:tabs>
          <w:tab w:val="left" w:pos="588"/>
        </w:tabs>
        <w:spacing w:before="0" w:beforeAutospacing="0" w:after="0" w:afterAutospacing="0"/>
        <w:textAlignment w:val="auto"/>
        <w:rPr>
          <w:rFonts w:ascii="宋体"/>
          <w:kern w:val="24"/>
          <w:szCs w:val="21"/>
        </w:rPr>
      </w:pPr>
      <w:r>
        <w:rPr>
          <w:rFonts w:ascii="宋体"/>
          <w:kern w:val="24"/>
          <w:szCs w:val="21"/>
        </w:rPr>
        <w:t xml:space="preserve"> </w:t>
      </w:r>
      <w:r>
        <w:rPr>
          <w:rFonts w:ascii="宋体" w:hint="eastAsia"/>
          <w:kern w:val="24"/>
          <w:szCs w:val="21"/>
        </w:rPr>
        <w:t>项目说明见“供应商须知前附表”。</w:t>
      </w:r>
    </w:p>
    <w:p>
      <w:pPr>
        <w:keepNext/>
        <w:keepLines/>
        <w:widowControl w:val="0"/>
        <w:numPr>
          <w:ilvl w:val="0"/>
          <w:numId w:val="1"/>
        </w:numPr>
        <w:tabs>
          <w:tab w:val="left" w:pos="360"/>
          <w:tab w:val="left" w:pos="588"/>
        </w:tabs>
        <w:adjustRightInd w:val="0"/>
        <w:spacing w:line="360" w:lineRule="auto"/>
        <w:textAlignment w:val="baseline"/>
        <w:outlineLvl w:val="2"/>
        <w:rPr>
          <w:rFonts w:ascii="宋体"/>
          <w:b/>
          <w:sz w:val="24"/>
          <w:szCs w:val="21"/>
        </w:rPr>
      </w:pPr>
      <w:bookmarkStart w:id="13" w:name="_Toc12890617"/>
      <w:r>
        <w:rPr>
          <w:rFonts w:ascii="宋体" w:hint="eastAsia"/>
          <w:b/>
          <w:sz w:val="24"/>
          <w:szCs w:val="21"/>
        </w:rPr>
        <w:t>定义</w:t>
      </w:r>
      <w:bookmarkEnd w:id="13"/>
    </w:p>
    <w:p>
      <w:pPr>
        <w:numPr>
          <w:ilvl w:val="1"/>
          <w:numId w:val="1"/>
        </w:numPr>
        <w:tabs>
          <w:tab w:val="left" w:pos="588"/>
        </w:tabs>
        <w:spacing w:line="360" w:lineRule="auto"/>
        <w:rPr>
          <w:rFonts w:ascii="宋体"/>
          <w:sz w:val="24"/>
        </w:rPr>
      </w:pPr>
      <w:r>
        <w:rPr>
          <w:rFonts w:ascii="宋体"/>
          <w:sz w:val="24"/>
        </w:rPr>
        <w:t xml:space="preserve"> </w:t>
      </w:r>
      <w:r>
        <w:rPr>
          <w:rFonts w:ascii="宋体" w:hint="eastAsia"/>
          <w:sz w:val="24"/>
        </w:rPr>
        <w:t>“采购人”系指中华人民共和国重庆江北机场海关。</w:t>
      </w:r>
    </w:p>
    <w:p>
      <w:pPr>
        <w:numPr>
          <w:ilvl w:val="1"/>
          <w:numId w:val="1"/>
        </w:numPr>
        <w:tabs>
          <w:tab w:val="left" w:pos="588"/>
        </w:tabs>
        <w:spacing w:line="360" w:lineRule="auto"/>
        <w:rPr>
          <w:rFonts w:ascii="宋体"/>
          <w:sz w:val="24"/>
        </w:rPr>
      </w:pPr>
      <w:r>
        <w:rPr>
          <w:rFonts w:ascii="宋体" w:hint="eastAsia"/>
          <w:sz w:val="24"/>
        </w:rPr>
        <w:t>“供应商”系指响应采购人要求，向采购人提交响应文件的</w:t>
      </w:r>
      <w:r>
        <w:rPr>
          <w:rFonts w:ascii="宋体" w:hint="eastAsia"/>
          <w:kern w:val="0"/>
          <w:sz w:val="24"/>
        </w:rPr>
        <w:t>参与比选的法人、其他组织或者自然人。</w:t>
      </w:r>
    </w:p>
    <w:p>
      <w:pPr>
        <w:numPr>
          <w:ilvl w:val="1"/>
          <w:numId w:val="1"/>
        </w:numPr>
        <w:tabs>
          <w:tab w:val="left" w:pos="588"/>
        </w:tabs>
        <w:spacing w:line="360" w:lineRule="auto"/>
        <w:rPr>
          <w:rFonts w:ascii="宋体"/>
          <w:sz w:val="24"/>
        </w:rPr>
      </w:pPr>
      <w:r>
        <w:rPr>
          <w:rFonts w:ascii="宋体" w:hint="eastAsia"/>
          <w:kern w:val="0"/>
          <w:sz w:val="24"/>
        </w:rPr>
        <w:t>“服务厂商”</w:t>
      </w:r>
      <w:r>
        <w:rPr>
          <w:rFonts w:ascii="宋体" w:hint="eastAsia"/>
          <w:sz w:val="24"/>
        </w:rPr>
        <w:t>系指响应采购人要求，授权资质并提供技术、人员、设备参与项目服务的</w:t>
      </w:r>
      <w:r>
        <w:rPr>
          <w:rFonts w:ascii="宋体" w:hint="eastAsia"/>
          <w:kern w:val="0"/>
          <w:sz w:val="24"/>
        </w:rPr>
        <w:t>法人、其他组织或者自然人。</w:t>
      </w:r>
    </w:p>
    <w:p>
      <w:pPr>
        <w:numPr>
          <w:ilvl w:val="1"/>
          <w:numId w:val="1"/>
        </w:numPr>
        <w:tabs>
          <w:tab w:val="left" w:pos="588"/>
        </w:tabs>
        <w:spacing w:line="360" w:lineRule="auto"/>
        <w:ind w:left="480" w:hanging="480"/>
        <w:rPr>
          <w:rFonts w:ascii="宋体"/>
          <w:sz w:val="24"/>
        </w:rPr>
      </w:pPr>
      <w:r>
        <w:rPr>
          <w:rFonts w:ascii="宋体"/>
          <w:sz w:val="24"/>
        </w:rPr>
        <w:t xml:space="preserve"> </w:t>
      </w:r>
      <w:r>
        <w:rPr>
          <w:rFonts w:ascii="宋体" w:hint="eastAsia"/>
          <w:sz w:val="24"/>
        </w:rPr>
        <w:t>“★”标志的为实质性条款，如有其中一项不符合即被视为非实质性响应予以拒绝。</w:t>
      </w:r>
    </w:p>
    <w:p>
      <w:pPr>
        <w:numPr>
          <w:ilvl w:val="1"/>
          <w:numId w:val="1"/>
        </w:numPr>
        <w:tabs>
          <w:tab w:val="left" w:pos="588"/>
        </w:tabs>
        <w:spacing w:line="360" w:lineRule="auto"/>
        <w:rPr>
          <w:rFonts w:ascii="宋体"/>
          <w:kern w:val="0"/>
          <w:sz w:val="24"/>
        </w:rPr>
      </w:pPr>
      <w:r>
        <w:rPr>
          <w:rFonts w:ascii="宋体" w:hint="eastAsia"/>
          <w:kern w:val="0"/>
          <w:sz w:val="24"/>
        </w:rPr>
        <w:t>“中小企业”系指满足《政府采购促进中小企业发展管理办法》（财库〔</w:t>
      </w:r>
      <w:r>
        <w:rPr>
          <w:rFonts w:ascii="宋体"/>
          <w:kern w:val="0"/>
          <w:sz w:val="24"/>
        </w:rPr>
        <w:t>2020</w:t>
      </w:r>
      <w:r>
        <w:rPr>
          <w:rFonts w:ascii="宋体" w:hint="eastAsia"/>
          <w:kern w:val="0"/>
          <w:sz w:val="24"/>
        </w:rPr>
        <w:t>〕</w:t>
      </w:r>
      <w:r>
        <w:rPr>
          <w:rFonts w:ascii="宋体"/>
          <w:kern w:val="0"/>
          <w:sz w:val="24"/>
        </w:rPr>
        <w:t>46</w:t>
      </w:r>
      <w:r>
        <w:rPr>
          <w:rFonts w:ascii="宋体" w:hint="eastAsia"/>
          <w:kern w:val="0"/>
          <w:sz w:val="24"/>
        </w:rPr>
        <w:t>号）第二条规定的企业。</w:t>
      </w:r>
    </w:p>
    <w:p>
      <w:pPr>
        <w:numPr>
          <w:ilvl w:val="1"/>
          <w:numId w:val="1"/>
        </w:numPr>
        <w:tabs>
          <w:tab w:val="left" w:pos="588"/>
        </w:tabs>
        <w:spacing w:line="360" w:lineRule="auto"/>
        <w:rPr>
          <w:rFonts w:ascii="宋体"/>
          <w:sz w:val="24"/>
        </w:rPr>
      </w:pPr>
      <w:r>
        <w:rPr>
          <w:rFonts w:ascii="宋体"/>
          <w:kern w:val="0"/>
          <w:sz w:val="24"/>
        </w:rPr>
        <w:t xml:space="preserve"> </w:t>
      </w:r>
      <w:r>
        <w:rPr>
          <w:rFonts w:ascii="宋体" w:hint="eastAsia"/>
          <w:kern w:val="0"/>
          <w:sz w:val="24"/>
        </w:rPr>
        <w:t>“监狱企业”系指《财政部、司法部关于政府采购支持监狱企业发展有关问题的通知》（财库〔</w:t>
      </w:r>
      <w:r>
        <w:rPr>
          <w:rFonts w:ascii="宋体"/>
          <w:kern w:val="0"/>
          <w:sz w:val="24"/>
        </w:rPr>
        <w:t>2014</w:t>
      </w:r>
      <w:r>
        <w:rPr>
          <w:rFonts w:ascii="宋体" w:hint="eastAsia"/>
          <w:kern w:val="0"/>
          <w:sz w:val="24"/>
        </w:rPr>
        <w:t>〕</w:t>
      </w:r>
      <w:r>
        <w:rPr>
          <w:rFonts w:ascii="宋体"/>
          <w:kern w:val="0"/>
          <w:sz w:val="24"/>
        </w:rPr>
        <w:t>68</w:t>
      </w:r>
      <w:r>
        <w:rPr>
          <w:rFonts w:ascii="宋体" w:hint="eastAsia"/>
          <w:kern w:val="0"/>
          <w:sz w:val="24"/>
        </w:rPr>
        <w:t>号）第一条规定的企业。</w:t>
      </w:r>
    </w:p>
    <w:p>
      <w:pPr>
        <w:numPr>
          <w:ilvl w:val="1"/>
          <w:numId w:val="1"/>
        </w:numPr>
        <w:tabs>
          <w:tab w:val="left" w:pos="588"/>
        </w:tabs>
        <w:spacing w:line="360" w:lineRule="auto"/>
        <w:rPr>
          <w:rFonts w:ascii="宋体"/>
          <w:sz w:val="24"/>
        </w:rPr>
      </w:pPr>
      <w:r>
        <w:rPr>
          <w:rFonts w:ascii="宋体" w:hint="eastAsia"/>
          <w:kern w:val="0"/>
          <w:sz w:val="24"/>
        </w:rPr>
        <w:t>“残疾人福利性单位”</w:t>
      </w:r>
      <w:r>
        <w:rPr>
          <w:rFonts w:ascii="宋体"/>
          <w:kern w:val="0"/>
          <w:sz w:val="24"/>
        </w:rPr>
        <w:t xml:space="preserve"> </w:t>
      </w:r>
      <w:r>
        <w:rPr>
          <w:rFonts w:ascii="宋体" w:hint="eastAsia"/>
          <w:kern w:val="0"/>
          <w:sz w:val="24"/>
        </w:rPr>
        <w:t>系指满足《财政部、民政部中国残疾人联合会关于促进残疾人就业政府采购政策的通知》（财库〔</w:t>
      </w:r>
      <w:r>
        <w:rPr>
          <w:rFonts w:ascii="宋体"/>
          <w:kern w:val="0"/>
          <w:sz w:val="24"/>
        </w:rPr>
        <w:t>2017</w:t>
      </w:r>
      <w:r>
        <w:rPr>
          <w:rFonts w:ascii="宋体" w:hint="eastAsia"/>
          <w:kern w:val="0"/>
          <w:sz w:val="24"/>
        </w:rPr>
        <w:t>〕</w:t>
      </w:r>
      <w:r>
        <w:rPr>
          <w:rFonts w:ascii="宋体"/>
          <w:kern w:val="0"/>
          <w:sz w:val="24"/>
        </w:rPr>
        <w:t>141</w:t>
      </w:r>
      <w:r>
        <w:rPr>
          <w:rFonts w:ascii="宋体" w:hint="eastAsia"/>
          <w:kern w:val="0"/>
          <w:sz w:val="24"/>
        </w:rPr>
        <w:t>号）第一条规定的单位。</w:t>
      </w:r>
    </w:p>
    <w:p>
      <w:pPr>
        <w:keepNext/>
        <w:keepLines/>
        <w:widowControl w:val="0"/>
        <w:numPr>
          <w:ilvl w:val="0"/>
          <w:numId w:val="1"/>
        </w:numPr>
        <w:tabs>
          <w:tab w:val="left" w:pos="360"/>
          <w:tab w:val="left" w:pos="588"/>
        </w:tabs>
        <w:adjustRightInd w:val="0"/>
        <w:spacing w:line="360" w:lineRule="auto"/>
        <w:textAlignment w:val="baseline"/>
        <w:outlineLvl w:val="2"/>
        <w:rPr>
          <w:rFonts w:ascii="宋体"/>
          <w:b/>
          <w:sz w:val="24"/>
          <w:szCs w:val="21"/>
        </w:rPr>
      </w:pPr>
      <w:bookmarkStart w:id="14" w:name="_Toc12890618"/>
      <w:r>
        <w:rPr>
          <w:rFonts w:ascii="宋体" w:hint="eastAsia"/>
          <w:b/>
          <w:sz w:val="24"/>
          <w:szCs w:val="21"/>
        </w:rPr>
        <w:t>合格的供应商</w:t>
      </w:r>
      <w:bookmarkEnd w:id="14"/>
    </w:p>
    <w:p>
      <w:pPr>
        <w:numPr>
          <w:ilvl w:val="1"/>
          <w:numId w:val="1"/>
        </w:numPr>
        <w:tabs>
          <w:tab w:val="left" w:pos="588"/>
        </w:tabs>
        <w:spacing w:line="360" w:lineRule="auto"/>
        <w:rPr>
          <w:rFonts w:ascii="宋体"/>
          <w:kern w:val="24"/>
          <w:sz w:val="24"/>
          <w:szCs w:val="21"/>
        </w:rPr>
      </w:pPr>
      <w:r>
        <w:rPr>
          <w:rFonts w:ascii="宋体"/>
          <w:kern w:val="24"/>
          <w:sz w:val="24"/>
          <w:szCs w:val="21"/>
        </w:rPr>
        <w:t xml:space="preserve"> </w:t>
      </w:r>
      <w:r>
        <w:rPr>
          <w:rFonts w:ascii="宋体" w:hint="eastAsia"/>
          <w:kern w:val="24"/>
          <w:sz w:val="24"/>
          <w:szCs w:val="21"/>
        </w:rPr>
        <w:t>供应商基本资质要求详见本项目供应商须知前附表。</w:t>
      </w:r>
    </w:p>
    <w:p>
      <w:pPr>
        <w:numPr>
          <w:ilvl w:val="1"/>
          <w:numId w:val="1"/>
        </w:numPr>
        <w:tabs>
          <w:tab w:val="left" w:pos="588"/>
        </w:tabs>
        <w:spacing w:line="360" w:lineRule="auto"/>
        <w:rPr>
          <w:rFonts w:ascii="宋体"/>
          <w:kern w:val="24"/>
          <w:sz w:val="24"/>
          <w:szCs w:val="21"/>
        </w:rPr>
      </w:pPr>
      <w:r>
        <w:rPr>
          <w:rFonts w:ascii="宋体"/>
          <w:kern w:val="24"/>
          <w:sz w:val="24"/>
          <w:szCs w:val="21"/>
        </w:rPr>
        <w:t xml:space="preserve"> </w:t>
      </w:r>
      <w:r>
        <w:rPr>
          <w:rFonts w:ascii="宋体" w:hint="eastAsia"/>
          <w:kern w:val="24"/>
          <w:sz w:val="24"/>
          <w:szCs w:val="21"/>
        </w:rPr>
        <w:t>供应商应遵守《中华人民共和国政府采购法》及其它有关的中国法律和法规。</w:t>
      </w:r>
    </w:p>
    <w:p>
      <w:pPr>
        <w:keepNext/>
        <w:keepLines/>
        <w:widowControl w:val="0"/>
        <w:numPr>
          <w:ilvl w:val="0"/>
          <w:numId w:val="1"/>
        </w:numPr>
        <w:tabs>
          <w:tab w:val="left" w:pos="360"/>
          <w:tab w:val="left" w:pos="588"/>
        </w:tabs>
        <w:adjustRightInd w:val="0"/>
        <w:spacing w:line="360" w:lineRule="auto"/>
        <w:textAlignment w:val="baseline"/>
        <w:outlineLvl w:val="2"/>
        <w:rPr>
          <w:rFonts w:ascii="宋体"/>
          <w:b/>
          <w:sz w:val="24"/>
          <w:szCs w:val="21"/>
        </w:rPr>
      </w:pPr>
      <w:bookmarkStart w:id="15" w:name="_Toc12890619"/>
      <w:r>
        <w:rPr>
          <w:rFonts w:ascii="宋体" w:hint="eastAsia"/>
          <w:b/>
          <w:sz w:val="24"/>
          <w:szCs w:val="21"/>
        </w:rPr>
        <w:t>响应费用</w:t>
      </w:r>
      <w:bookmarkEnd w:id="15"/>
    </w:p>
    <w:p>
      <w:pPr>
        <w:numPr>
          <w:ilvl w:val="1"/>
          <w:numId w:val="1"/>
        </w:numPr>
        <w:tabs>
          <w:tab w:val="left" w:pos="588"/>
        </w:tabs>
        <w:spacing w:line="360" w:lineRule="auto"/>
        <w:rPr>
          <w:rFonts w:ascii="宋体"/>
          <w:kern w:val="24"/>
          <w:sz w:val="24"/>
          <w:szCs w:val="21"/>
        </w:rPr>
      </w:pPr>
      <w:r>
        <w:rPr>
          <w:rFonts w:ascii="宋体"/>
          <w:kern w:val="24"/>
          <w:sz w:val="24"/>
          <w:szCs w:val="21"/>
        </w:rPr>
        <w:t xml:space="preserve"> </w:t>
      </w:r>
      <w:r>
        <w:rPr>
          <w:rFonts w:ascii="宋体" w:hint="eastAsia"/>
          <w:kern w:val="24"/>
          <w:sz w:val="24"/>
          <w:szCs w:val="21"/>
        </w:rPr>
        <w:t>供应商应承担所有与编写和提交响应文件有关的费用，无论响应过程和结果如何，采购人在任何情况下均无义务和责任承担这些费用。</w:t>
      </w:r>
    </w:p>
    <w:p>
      <w:pPr>
        <w:spacing w:afterLines="50" w:after="120"/>
        <w:jc w:val="center"/>
        <w:rPr>
          <w:rFonts w:ascii="宋体"/>
          <w:sz w:val="24"/>
          <w:szCs w:val="21"/>
        </w:rPr>
      </w:pPr>
      <w:bookmarkStart w:id="16" w:name="_Toc76661225"/>
      <w:bookmarkStart w:id="17" w:name="_Toc12890620"/>
      <w:bookmarkStart w:id="18" w:name="_Toc400782002"/>
      <w:bookmarkStart w:id="19" w:name="_Toc419469190"/>
    </w:p>
    <w:p>
      <w:pPr>
        <w:spacing w:afterLines="50" w:after="120"/>
        <w:jc w:val="center"/>
        <w:rPr>
          <w:rFonts w:ascii="宋体"/>
          <w:sz w:val="24"/>
          <w:szCs w:val="21"/>
        </w:rPr>
      </w:pPr>
      <w:r>
        <w:rPr>
          <w:rFonts w:ascii="宋体" w:hint="eastAsia"/>
          <w:sz w:val="24"/>
          <w:szCs w:val="21"/>
        </w:rPr>
        <w:t>二、比选文件说明</w:t>
      </w:r>
      <w:bookmarkEnd w:id="16"/>
      <w:bookmarkEnd w:id="17"/>
      <w:bookmarkEnd w:id="18"/>
      <w:bookmarkEnd w:id="19"/>
    </w:p>
    <w:p>
      <w:pPr>
        <w:keepNext/>
        <w:keepLines/>
        <w:widowControl w:val="0"/>
        <w:numPr>
          <w:ilvl w:val="0"/>
          <w:numId w:val="1"/>
        </w:numPr>
        <w:tabs>
          <w:tab w:val="left" w:pos="360"/>
          <w:tab w:val="left" w:pos="588"/>
        </w:tabs>
        <w:adjustRightInd w:val="0"/>
        <w:spacing w:line="360" w:lineRule="auto"/>
        <w:textAlignment w:val="baseline"/>
        <w:outlineLvl w:val="2"/>
        <w:rPr>
          <w:rFonts w:ascii="宋体"/>
          <w:b/>
          <w:sz w:val="24"/>
          <w:szCs w:val="21"/>
        </w:rPr>
      </w:pPr>
      <w:bookmarkStart w:id="20" w:name="_Toc12890621"/>
      <w:r>
        <w:rPr>
          <w:rFonts w:ascii="宋体" w:hint="eastAsia"/>
          <w:b/>
          <w:sz w:val="24"/>
          <w:szCs w:val="21"/>
        </w:rPr>
        <w:t>通知</w:t>
      </w:r>
      <w:bookmarkEnd w:id="20"/>
    </w:p>
    <w:p>
      <w:pPr>
        <w:numPr>
          <w:ilvl w:val="1"/>
          <w:numId w:val="1"/>
        </w:numPr>
        <w:tabs>
          <w:tab w:val="left" w:pos="588"/>
        </w:tabs>
        <w:spacing w:line="360" w:lineRule="auto"/>
        <w:rPr>
          <w:rFonts w:ascii="宋体"/>
          <w:kern w:val="24"/>
          <w:sz w:val="24"/>
          <w:szCs w:val="21"/>
        </w:rPr>
      </w:pPr>
      <w:r>
        <w:rPr>
          <w:rFonts w:ascii="宋体"/>
          <w:kern w:val="24"/>
          <w:sz w:val="24"/>
          <w:szCs w:val="21"/>
        </w:rPr>
        <w:t xml:space="preserve"> </w:t>
      </w:r>
      <w:r>
        <w:rPr>
          <w:rFonts w:ascii="宋体" w:hint="eastAsia"/>
          <w:kern w:val="24"/>
          <w:sz w:val="24"/>
          <w:szCs w:val="21"/>
        </w:rPr>
        <w:t>对与本项目有关的通知，采购人将在重庆海关官方网站（</w:t>
      </w:r>
      <w:r>
        <w:rPr>
          <w:rFonts w:ascii="宋体"/>
          <w:kern w:val="24"/>
          <w:sz w:val="24"/>
          <w:szCs w:val="21"/>
        </w:rPr>
        <w:t>http://chongqing.customs.gov.cn</w:t>
      </w:r>
      <w:r>
        <w:rPr>
          <w:rFonts w:hint="eastAsia"/>
        </w:rPr>
        <w:t>）</w:t>
      </w:r>
      <w:r>
        <w:rPr>
          <w:rFonts w:ascii="宋体" w:hint="eastAsia"/>
          <w:kern w:val="24"/>
          <w:sz w:val="24"/>
          <w:szCs w:val="21"/>
        </w:rPr>
        <w:t>发布。无论供应商下载与否，采购人都视为供应商已收到以上资料并全部知晓有关比选采购过程和事宜，由此产生的一切后果由供应商自负。</w:t>
      </w:r>
    </w:p>
    <w:p>
      <w:pPr>
        <w:numPr>
          <w:ilvl w:val="1"/>
          <w:numId w:val="1"/>
        </w:numPr>
        <w:tabs>
          <w:tab w:val="left" w:pos="588"/>
        </w:tabs>
        <w:spacing w:line="360" w:lineRule="auto"/>
        <w:rPr>
          <w:rFonts w:ascii="宋体"/>
          <w:kern w:val="24"/>
          <w:sz w:val="24"/>
          <w:szCs w:val="21"/>
        </w:rPr>
      </w:pPr>
      <w:r>
        <w:rPr>
          <w:rFonts w:ascii="宋体"/>
          <w:kern w:val="24"/>
          <w:sz w:val="24"/>
          <w:szCs w:val="21"/>
        </w:rPr>
        <w:t xml:space="preserve"> </w:t>
      </w:r>
      <w:r>
        <w:rPr>
          <w:rFonts w:ascii="宋体" w:hint="eastAsia"/>
          <w:kern w:val="24"/>
          <w:sz w:val="24"/>
          <w:szCs w:val="21"/>
        </w:rPr>
        <w:t>供应商应认真阅读比选文件中所有的事项、格式条款和规范要求等。供应商须知晓因未对比选文件做出全面的实质性响应所带来的一切风险。采购人有权拒绝没有对比选文件要求做出实质性响应的报价。</w:t>
      </w:r>
    </w:p>
    <w:p>
      <w:pPr>
        <w:keepNext/>
        <w:keepLines/>
        <w:widowControl w:val="0"/>
        <w:numPr>
          <w:ilvl w:val="0"/>
          <w:numId w:val="1"/>
        </w:numPr>
        <w:tabs>
          <w:tab w:val="left" w:pos="360"/>
          <w:tab w:val="left" w:pos="588"/>
        </w:tabs>
        <w:adjustRightInd w:val="0"/>
        <w:spacing w:line="360" w:lineRule="auto"/>
        <w:textAlignment w:val="baseline"/>
        <w:outlineLvl w:val="2"/>
        <w:rPr>
          <w:rFonts w:ascii="宋体"/>
          <w:b/>
          <w:sz w:val="24"/>
          <w:szCs w:val="21"/>
        </w:rPr>
      </w:pPr>
      <w:bookmarkStart w:id="21" w:name="_Toc12890622"/>
      <w:bookmarkStart w:id="22" w:name="_Toc12890623"/>
      <w:r>
        <w:rPr>
          <w:rFonts w:ascii="宋体" w:hint="eastAsia"/>
          <w:b/>
          <w:sz w:val="24"/>
          <w:szCs w:val="21"/>
        </w:rPr>
        <w:t>比选文件的构成</w:t>
      </w:r>
      <w:bookmarkEnd w:id="21"/>
    </w:p>
    <w:p>
      <w:pPr>
        <w:numPr>
          <w:ilvl w:val="1"/>
          <w:numId w:val="1"/>
        </w:numPr>
        <w:tabs>
          <w:tab w:val="left" w:pos="588"/>
        </w:tabs>
        <w:spacing w:line="360" w:lineRule="auto"/>
        <w:rPr>
          <w:rFonts w:ascii="宋体"/>
          <w:sz w:val="24"/>
        </w:rPr>
      </w:pPr>
      <w:r>
        <w:rPr>
          <w:rFonts w:ascii="宋体"/>
          <w:sz w:val="24"/>
        </w:rPr>
        <w:t xml:space="preserve"> </w:t>
      </w:r>
      <w:r>
        <w:rPr>
          <w:rFonts w:ascii="宋体" w:hint="eastAsia"/>
          <w:sz w:val="24"/>
        </w:rPr>
        <w:t>比选文件用以阐明供应商所需提供的货物</w:t>
      </w:r>
      <w:r>
        <w:rPr>
          <w:rFonts w:ascii="宋体"/>
          <w:sz w:val="24"/>
        </w:rPr>
        <w:t>/</w:t>
      </w:r>
      <w:r>
        <w:rPr>
          <w:rFonts w:ascii="宋体" w:hint="eastAsia"/>
          <w:sz w:val="24"/>
        </w:rPr>
        <w:t>服务以及其它类似的义务和合同条款。</w:t>
      </w:r>
      <w:r>
        <w:rPr>
          <w:rFonts w:ascii="宋体"/>
          <w:sz w:val="24"/>
        </w:rPr>
        <w:t xml:space="preserve"> </w:t>
      </w:r>
      <w:r>
        <w:rPr>
          <w:rFonts w:ascii="宋体" w:hint="eastAsia"/>
          <w:sz w:val="24"/>
        </w:rPr>
        <w:t>通知书包括如下六部分内容：</w:t>
      </w:r>
    </w:p>
    <w:p>
      <w:pPr>
        <w:numPr>
          <w:ilvl w:val="0"/>
          <w:numId w:val="2"/>
        </w:numPr>
        <w:tabs>
          <w:tab w:val="left" w:pos="588"/>
          <w:tab w:val="left" w:pos="2552"/>
        </w:tabs>
        <w:spacing w:line="360" w:lineRule="auto"/>
        <w:ind w:left="1798" w:hanging="958"/>
        <w:rPr>
          <w:rFonts w:ascii="宋体"/>
          <w:sz w:val="24"/>
          <w:szCs w:val="21"/>
        </w:rPr>
      </w:pPr>
      <w:r>
        <w:rPr>
          <w:rFonts w:ascii="宋体" w:hint="eastAsia"/>
          <w:sz w:val="24"/>
          <w:szCs w:val="21"/>
        </w:rPr>
        <w:t>比选通知</w:t>
      </w:r>
    </w:p>
    <w:p>
      <w:pPr>
        <w:numPr>
          <w:ilvl w:val="0"/>
          <w:numId w:val="2"/>
        </w:numPr>
        <w:tabs>
          <w:tab w:val="left" w:pos="588"/>
          <w:tab w:val="left" w:pos="2552"/>
        </w:tabs>
        <w:spacing w:line="360" w:lineRule="auto"/>
        <w:ind w:left="1798" w:hanging="958"/>
        <w:rPr>
          <w:rFonts w:ascii="宋体"/>
          <w:sz w:val="24"/>
          <w:szCs w:val="21"/>
        </w:rPr>
      </w:pPr>
      <w:r>
        <w:rPr>
          <w:rFonts w:ascii="宋体" w:hint="eastAsia"/>
          <w:sz w:val="24"/>
          <w:szCs w:val="21"/>
        </w:rPr>
        <w:t>比选须知</w:t>
      </w:r>
    </w:p>
    <w:p>
      <w:pPr>
        <w:numPr>
          <w:ilvl w:val="0"/>
          <w:numId w:val="2"/>
        </w:numPr>
        <w:tabs>
          <w:tab w:val="left" w:pos="588"/>
          <w:tab w:val="left" w:pos="2552"/>
        </w:tabs>
        <w:spacing w:line="360" w:lineRule="auto"/>
        <w:ind w:left="1798" w:hanging="958"/>
        <w:rPr>
          <w:rFonts w:ascii="宋体"/>
          <w:sz w:val="24"/>
          <w:szCs w:val="21"/>
        </w:rPr>
      </w:pPr>
      <w:r>
        <w:rPr>
          <w:rFonts w:ascii="宋体" w:hint="eastAsia"/>
          <w:sz w:val="24"/>
          <w:szCs w:val="21"/>
        </w:rPr>
        <w:t>项目需求</w:t>
      </w:r>
    </w:p>
    <w:p>
      <w:pPr>
        <w:numPr>
          <w:ilvl w:val="0"/>
          <w:numId w:val="2"/>
        </w:numPr>
        <w:tabs>
          <w:tab w:val="left" w:pos="588"/>
          <w:tab w:val="left" w:pos="2552"/>
        </w:tabs>
        <w:spacing w:line="360" w:lineRule="auto"/>
        <w:ind w:left="1798" w:hanging="958"/>
        <w:rPr>
          <w:rFonts w:ascii="宋体"/>
          <w:sz w:val="24"/>
          <w:szCs w:val="21"/>
        </w:rPr>
      </w:pPr>
      <w:r>
        <w:rPr>
          <w:rFonts w:ascii="宋体" w:hint="eastAsia"/>
          <w:sz w:val="24"/>
          <w:szCs w:val="21"/>
        </w:rPr>
        <w:t>比选方法</w:t>
      </w:r>
    </w:p>
    <w:p>
      <w:pPr>
        <w:numPr>
          <w:ilvl w:val="0"/>
          <w:numId w:val="2"/>
        </w:numPr>
        <w:tabs>
          <w:tab w:val="left" w:pos="588"/>
          <w:tab w:val="left" w:pos="2552"/>
        </w:tabs>
        <w:spacing w:line="360" w:lineRule="auto"/>
        <w:ind w:left="1798" w:hanging="958"/>
        <w:rPr>
          <w:rFonts w:ascii="宋体"/>
          <w:sz w:val="24"/>
          <w:szCs w:val="21"/>
        </w:rPr>
      </w:pPr>
      <w:r>
        <w:rPr>
          <w:rFonts w:ascii="宋体" w:hint="eastAsia"/>
          <w:sz w:val="24"/>
          <w:szCs w:val="21"/>
        </w:rPr>
        <w:t>合同主要条款及合同格式</w:t>
      </w:r>
    </w:p>
    <w:p>
      <w:pPr>
        <w:numPr>
          <w:ilvl w:val="0"/>
          <w:numId w:val="2"/>
        </w:numPr>
        <w:tabs>
          <w:tab w:val="left" w:pos="588"/>
          <w:tab w:val="left" w:pos="2552"/>
        </w:tabs>
        <w:spacing w:line="360" w:lineRule="auto"/>
        <w:ind w:left="1798" w:hanging="958"/>
        <w:rPr>
          <w:rFonts w:ascii="宋体"/>
          <w:sz w:val="24"/>
        </w:rPr>
      </w:pPr>
      <w:r>
        <w:rPr>
          <w:rFonts w:ascii="宋体" w:hint="eastAsia"/>
          <w:sz w:val="24"/>
          <w:szCs w:val="21"/>
        </w:rPr>
        <w:t>响应文件格式</w:t>
      </w:r>
    </w:p>
    <w:p>
      <w:pPr>
        <w:keepNext/>
        <w:keepLines/>
        <w:widowControl w:val="0"/>
        <w:numPr>
          <w:ilvl w:val="0"/>
          <w:numId w:val="1"/>
        </w:numPr>
        <w:tabs>
          <w:tab w:val="left" w:pos="360"/>
          <w:tab w:val="left" w:pos="588"/>
        </w:tabs>
        <w:adjustRightInd w:val="0"/>
        <w:spacing w:line="360" w:lineRule="auto"/>
        <w:textAlignment w:val="baseline"/>
        <w:outlineLvl w:val="2"/>
        <w:rPr>
          <w:b/>
          <w:sz w:val="24"/>
        </w:rPr>
      </w:pPr>
      <w:r>
        <w:rPr>
          <w:rFonts w:ascii="宋体" w:hint="eastAsia"/>
          <w:b/>
          <w:sz w:val="24"/>
          <w:szCs w:val="21"/>
        </w:rPr>
        <w:t>比选文件的澄清和修改</w:t>
      </w:r>
      <w:bookmarkEnd w:id="22"/>
    </w:p>
    <w:p>
      <w:pPr>
        <w:numPr>
          <w:ilvl w:val="1"/>
          <w:numId w:val="1"/>
        </w:numPr>
        <w:tabs>
          <w:tab w:val="left" w:pos="588"/>
        </w:tabs>
        <w:spacing w:line="360" w:lineRule="auto"/>
        <w:rPr>
          <w:rFonts w:ascii="宋体"/>
          <w:kern w:val="0"/>
          <w:sz w:val="24"/>
        </w:rPr>
      </w:pPr>
      <w:r>
        <w:rPr>
          <w:rFonts w:ascii="宋体" w:hint="eastAsia"/>
          <w:kern w:val="24"/>
          <w:sz w:val="24"/>
          <w:szCs w:val="21"/>
        </w:rPr>
        <w:t>询问：任何已从采购人规定的渠道获取了比选文件的潜在供应商，在发现响应文件存在混淆或错乱等问题时，可以在获取比选文件之日起三个工作日内以电话、电子邮件等方式向采购机构提出询问，采购人将在收到询问后的一个工作日内以提出询问的同样方式予以答复，询问不能作为投诉的前提。如果潜在供应商认为比选文件的部分设置使自己的权益受到损害，请按本比选文件第</w:t>
      </w:r>
      <w:r>
        <w:rPr>
          <w:rFonts w:ascii="宋体"/>
          <w:kern w:val="24"/>
          <w:sz w:val="24"/>
          <w:szCs w:val="21"/>
        </w:rPr>
        <w:t>36</w:t>
      </w:r>
      <w:r>
        <w:rPr>
          <w:rFonts w:ascii="宋体" w:hint="eastAsia"/>
          <w:kern w:val="24"/>
          <w:sz w:val="24"/>
          <w:szCs w:val="21"/>
        </w:rPr>
        <w:t>条规定提出质疑。</w:t>
      </w:r>
    </w:p>
    <w:p>
      <w:pPr>
        <w:numPr>
          <w:ilvl w:val="1"/>
          <w:numId w:val="1"/>
        </w:numPr>
        <w:tabs>
          <w:tab w:val="left" w:pos="588"/>
        </w:tabs>
        <w:spacing w:line="360" w:lineRule="auto"/>
        <w:rPr>
          <w:rFonts w:ascii="宋体"/>
          <w:kern w:val="24"/>
          <w:sz w:val="24"/>
          <w:szCs w:val="21"/>
        </w:rPr>
      </w:pPr>
      <w:r>
        <w:rPr>
          <w:rFonts w:ascii="宋体" w:hint="eastAsia"/>
          <w:kern w:val="24"/>
          <w:sz w:val="24"/>
          <w:szCs w:val="21"/>
        </w:rPr>
        <w:t>澄清和修改：</w:t>
      </w:r>
    </w:p>
    <w:p>
      <w:pPr>
        <w:tabs>
          <w:tab w:val="left" w:pos="360"/>
          <w:tab w:val="left" w:pos="588"/>
        </w:tabs>
        <w:spacing w:line="360" w:lineRule="auto"/>
        <w:rPr>
          <w:rFonts w:ascii="宋体"/>
          <w:kern w:val="24"/>
          <w:sz w:val="24"/>
          <w:szCs w:val="21"/>
        </w:rPr>
      </w:pPr>
      <w:r>
        <w:rPr>
          <w:rFonts w:ascii="宋体"/>
          <w:kern w:val="24"/>
          <w:sz w:val="24"/>
          <w:szCs w:val="21"/>
        </w:rPr>
        <w:t>7.2.1</w:t>
      </w:r>
      <w:r>
        <w:rPr>
          <w:rFonts w:ascii="宋体" w:hint="eastAsia"/>
          <w:kern w:val="24"/>
          <w:sz w:val="24"/>
          <w:szCs w:val="21"/>
        </w:rPr>
        <w:t>比选文件发出后，采购人有权对比选文件进行澄清和修改，澄清或修改内文件为比选文件的组成部分，对所有获取了比选文件的潜在供应商均具有约束力。</w:t>
      </w:r>
    </w:p>
    <w:p>
      <w:pPr>
        <w:tabs>
          <w:tab w:val="left" w:pos="360"/>
          <w:tab w:val="left" w:pos="588"/>
        </w:tabs>
        <w:spacing w:line="360" w:lineRule="auto"/>
        <w:rPr>
          <w:rFonts w:ascii="宋体"/>
          <w:kern w:val="24"/>
          <w:sz w:val="24"/>
          <w:szCs w:val="21"/>
        </w:rPr>
      </w:pPr>
      <w:r>
        <w:rPr>
          <w:rFonts w:ascii="宋体"/>
          <w:kern w:val="24"/>
          <w:sz w:val="24"/>
          <w:szCs w:val="21"/>
        </w:rPr>
        <w:t>7.2.2</w:t>
      </w:r>
      <w:r>
        <w:rPr>
          <w:rFonts w:ascii="宋体" w:hint="eastAsia"/>
          <w:kern w:val="24"/>
          <w:sz w:val="24"/>
          <w:szCs w:val="21"/>
        </w:rPr>
        <w:t>对比选文件的澄清和修改，采购人将在重庆海关官方网站（</w:t>
      </w:r>
      <w:r>
        <w:rPr>
          <w:rFonts w:ascii="宋体"/>
          <w:kern w:val="24"/>
          <w:sz w:val="24"/>
          <w:szCs w:val="21"/>
        </w:rPr>
        <w:t>http://chongqing.customs.gov.cn</w:t>
      </w:r>
      <w:r>
        <w:rPr>
          <w:rFonts w:hint="eastAsia"/>
        </w:rPr>
        <w:t>）</w:t>
      </w:r>
      <w:r>
        <w:rPr>
          <w:rFonts w:ascii="宋体" w:hint="eastAsia"/>
          <w:kern w:val="24"/>
          <w:sz w:val="24"/>
          <w:szCs w:val="21"/>
        </w:rPr>
        <w:t>发布</w:t>
      </w:r>
      <w:r>
        <w:rPr>
          <w:rFonts w:ascii="宋体" w:cs="Arial" w:hint="eastAsia"/>
          <w:bCs/>
          <w:kern w:val="0"/>
          <w:sz w:val="24"/>
        </w:rPr>
        <w:t>。</w:t>
      </w:r>
    </w:p>
    <w:p>
      <w:pPr>
        <w:tabs>
          <w:tab w:val="left" w:pos="360"/>
          <w:tab w:val="left" w:pos="588"/>
        </w:tabs>
        <w:spacing w:line="360" w:lineRule="auto"/>
        <w:rPr>
          <w:rFonts w:ascii="宋体"/>
          <w:kern w:val="24"/>
          <w:sz w:val="24"/>
          <w:szCs w:val="21"/>
        </w:rPr>
      </w:pPr>
      <w:r>
        <w:rPr>
          <w:rFonts w:ascii="宋体"/>
          <w:kern w:val="24"/>
          <w:sz w:val="24"/>
          <w:szCs w:val="21"/>
        </w:rPr>
        <w:t>7.2.3</w:t>
      </w:r>
      <w:r>
        <w:rPr>
          <w:rFonts w:ascii="宋体" w:hint="eastAsia"/>
          <w:kern w:val="24"/>
          <w:sz w:val="24"/>
          <w:szCs w:val="21"/>
        </w:rPr>
        <w:t>如果澄清或修改内容可能影响响应文件编制的，澄清或修改内文件将在报价截止时间至少三日前发出，不足上述时间的，采购人将会顺延提交响应文件的截止时间。报价截止时间变更在提交响应文件截至时间三日前在重庆海关官方网站（</w:t>
      </w:r>
      <w:r>
        <w:rPr>
          <w:rFonts w:ascii="宋体"/>
          <w:kern w:val="24"/>
          <w:sz w:val="24"/>
          <w:szCs w:val="21"/>
        </w:rPr>
        <w:t>http://chongqing.customs.gov.cn</w:t>
      </w:r>
      <w:r>
        <w:rPr>
          <w:rFonts w:hint="eastAsia"/>
        </w:rPr>
        <w:t>）</w:t>
      </w:r>
      <w:r>
        <w:rPr>
          <w:rFonts w:ascii="宋体" w:hint="eastAsia"/>
          <w:kern w:val="24"/>
          <w:sz w:val="24"/>
          <w:szCs w:val="21"/>
        </w:rPr>
        <w:t>发布</w:t>
      </w:r>
      <w:r>
        <w:rPr>
          <w:rFonts w:ascii="宋体" w:cs="Arial" w:hint="eastAsia"/>
          <w:bCs/>
          <w:kern w:val="0"/>
          <w:sz w:val="24"/>
        </w:rPr>
        <w:t>。</w:t>
      </w:r>
    </w:p>
    <w:p>
      <w:pPr>
        <w:tabs>
          <w:tab w:val="left" w:pos="360"/>
          <w:tab w:val="left" w:pos="588"/>
        </w:tabs>
        <w:spacing w:line="360" w:lineRule="auto"/>
        <w:rPr>
          <w:rFonts w:ascii="宋体"/>
          <w:kern w:val="24"/>
          <w:sz w:val="24"/>
        </w:rPr>
      </w:pPr>
      <w:r>
        <w:rPr>
          <w:rFonts w:ascii="宋体"/>
          <w:kern w:val="24"/>
          <w:sz w:val="24"/>
        </w:rPr>
        <w:t>7.3</w:t>
      </w:r>
      <w:r>
        <w:rPr>
          <w:rFonts w:ascii="宋体" w:hint="eastAsia"/>
          <w:kern w:val="24"/>
          <w:sz w:val="24"/>
        </w:rPr>
        <w:t>采购人如果需要组织已获取比选文件的潜在供应商现场考察或召报价前答疑等活动，将会在比选文件中明示，采购人不再另行通知。</w:t>
      </w:r>
    </w:p>
    <w:p>
      <w:pPr>
        <w:spacing w:afterLines="50" w:after="120"/>
        <w:jc w:val="center"/>
        <w:rPr>
          <w:rFonts w:ascii="宋体"/>
          <w:sz w:val="24"/>
          <w:szCs w:val="21"/>
        </w:rPr>
      </w:pPr>
      <w:bookmarkStart w:id="23" w:name="_Toc419469191"/>
      <w:bookmarkStart w:id="24" w:name="_Toc400782003"/>
      <w:bookmarkStart w:id="25" w:name="_Toc76661226"/>
      <w:bookmarkStart w:id="26" w:name="_Toc12890624"/>
      <w:r>
        <w:rPr>
          <w:rFonts w:ascii="宋体" w:hint="eastAsia"/>
          <w:sz w:val="24"/>
          <w:szCs w:val="21"/>
        </w:rPr>
        <w:t>三、响应文件的编写</w:t>
      </w:r>
      <w:bookmarkEnd w:id="23"/>
      <w:bookmarkEnd w:id="24"/>
      <w:bookmarkEnd w:id="25"/>
      <w:bookmarkEnd w:id="26"/>
    </w:p>
    <w:p>
      <w:pPr>
        <w:tabs>
          <w:tab w:val="left" w:pos="360"/>
        </w:tabs>
        <w:rPr>
          <w:rFonts w:ascii="宋体"/>
          <w:b/>
          <w:sz w:val="24"/>
          <w:szCs w:val="21"/>
        </w:rPr>
      </w:pPr>
      <w:bookmarkStart w:id="27" w:name="_Toc56534773"/>
      <w:bookmarkStart w:id="28" w:name="_Toc12890625"/>
      <w:r>
        <w:rPr>
          <w:rFonts w:ascii="宋体"/>
          <w:b/>
          <w:sz w:val="24"/>
          <w:szCs w:val="21"/>
        </w:rPr>
        <w:t>8.</w:t>
      </w:r>
      <w:r>
        <w:rPr>
          <w:rFonts w:ascii="宋体" w:hint="eastAsia"/>
          <w:b/>
          <w:sz w:val="24"/>
          <w:szCs w:val="21"/>
        </w:rPr>
        <w:t>响应文件语言</w:t>
      </w:r>
      <w:bookmarkEnd w:id="27"/>
      <w:bookmarkEnd w:id="28"/>
    </w:p>
    <w:p>
      <w:pPr>
        <w:tabs>
          <w:tab w:val="left" w:pos="360"/>
          <w:tab w:val="left" w:pos="588"/>
        </w:tabs>
        <w:spacing w:line="360" w:lineRule="auto"/>
        <w:rPr>
          <w:rFonts w:ascii="宋体"/>
          <w:sz w:val="24"/>
        </w:rPr>
      </w:pPr>
      <w:r>
        <w:rPr>
          <w:rFonts w:ascii="宋体"/>
          <w:sz w:val="24"/>
        </w:rPr>
        <w:t>8.1</w:t>
      </w:r>
      <w:r>
        <w:rPr>
          <w:rFonts w:ascii="宋体" w:hint="eastAsia"/>
          <w:sz w:val="24"/>
        </w:rPr>
        <w:t>响应文件及与响应相关的所有文件均应以中文书写。</w:t>
      </w:r>
    </w:p>
    <w:p>
      <w:pPr>
        <w:tabs>
          <w:tab w:val="left" w:pos="360"/>
        </w:tabs>
        <w:rPr>
          <w:rFonts w:ascii="宋体"/>
          <w:b/>
          <w:sz w:val="24"/>
          <w:szCs w:val="21"/>
        </w:rPr>
      </w:pPr>
      <w:bookmarkStart w:id="29" w:name="_Toc12890626"/>
      <w:bookmarkStart w:id="30" w:name="_Toc56534774"/>
      <w:r>
        <w:rPr>
          <w:rFonts w:ascii="宋体"/>
          <w:b/>
          <w:sz w:val="24"/>
          <w:szCs w:val="21"/>
        </w:rPr>
        <w:t>9.</w:t>
      </w:r>
      <w:r>
        <w:rPr>
          <w:rFonts w:ascii="宋体" w:hint="eastAsia"/>
          <w:b/>
          <w:sz w:val="24"/>
          <w:szCs w:val="21"/>
        </w:rPr>
        <w:t>计量单位</w:t>
      </w:r>
      <w:bookmarkEnd w:id="29"/>
      <w:bookmarkEnd w:id="30"/>
    </w:p>
    <w:p>
      <w:pPr>
        <w:tabs>
          <w:tab w:val="left" w:pos="360"/>
          <w:tab w:val="left" w:pos="588"/>
        </w:tabs>
        <w:spacing w:line="360" w:lineRule="auto"/>
        <w:rPr>
          <w:rFonts w:ascii="宋体"/>
          <w:b/>
          <w:sz w:val="24"/>
        </w:rPr>
      </w:pPr>
      <w:r>
        <w:rPr>
          <w:rFonts w:ascii="宋体"/>
          <w:sz w:val="24"/>
        </w:rPr>
        <w:t>9.1</w:t>
      </w:r>
      <w:r>
        <w:rPr>
          <w:rFonts w:ascii="宋体" w:hint="eastAsia"/>
          <w:sz w:val="24"/>
        </w:rPr>
        <w:t>除在比选文件的技术规格中另有规定外，计量单位应使用中华人民共和国法定计量单位。</w:t>
      </w:r>
    </w:p>
    <w:p>
      <w:pPr>
        <w:tabs>
          <w:tab w:val="left" w:pos="360"/>
        </w:tabs>
        <w:rPr>
          <w:rFonts w:ascii="宋体"/>
          <w:b/>
          <w:sz w:val="24"/>
          <w:szCs w:val="21"/>
        </w:rPr>
      </w:pPr>
      <w:bookmarkStart w:id="31" w:name="_Toc12890627"/>
      <w:r>
        <w:rPr>
          <w:rFonts w:ascii="宋体"/>
          <w:b/>
          <w:sz w:val="24"/>
          <w:szCs w:val="21"/>
        </w:rPr>
        <w:t>10.</w:t>
      </w:r>
      <w:r>
        <w:rPr>
          <w:rFonts w:ascii="宋体" w:hint="eastAsia"/>
          <w:b/>
          <w:sz w:val="24"/>
          <w:szCs w:val="21"/>
        </w:rPr>
        <w:t>应答文件的组成</w:t>
      </w:r>
      <w:bookmarkEnd w:id="31"/>
    </w:p>
    <w:p>
      <w:pPr>
        <w:tabs>
          <w:tab w:val="left" w:pos="588"/>
        </w:tabs>
        <w:spacing w:line="360" w:lineRule="auto"/>
        <w:rPr>
          <w:rFonts w:ascii="宋体"/>
          <w:sz w:val="24"/>
        </w:rPr>
      </w:pPr>
      <w:r>
        <w:rPr>
          <w:rFonts w:ascii="宋体"/>
          <w:sz w:val="24"/>
        </w:rPr>
        <w:t>10.1</w:t>
      </w:r>
      <w:r>
        <w:rPr>
          <w:rFonts w:ascii="宋体" w:hint="eastAsia"/>
          <w:sz w:val="24"/>
        </w:rPr>
        <w:t>供应商编写的应答文件应包括以下两类文件：</w:t>
      </w:r>
    </w:p>
    <w:p>
      <w:pPr>
        <w:spacing w:line="360" w:lineRule="auto"/>
        <w:rPr>
          <w:rFonts w:ascii="宋体"/>
          <w:b/>
          <w:kern w:val="0"/>
          <w:sz w:val="24"/>
          <w:szCs w:val="21"/>
        </w:rPr>
      </w:pPr>
      <w:r>
        <w:rPr>
          <w:rFonts w:ascii="宋体" w:hint="eastAsia"/>
          <w:b/>
          <w:kern w:val="0"/>
          <w:sz w:val="24"/>
          <w:szCs w:val="21"/>
        </w:rPr>
        <w:t>★第一类文件：资格审核材料</w:t>
      </w:r>
    </w:p>
    <w:p>
      <w:pPr>
        <w:tabs>
          <w:tab w:val="left" w:pos="360"/>
          <w:tab w:val="left" w:pos="588"/>
        </w:tabs>
        <w:spacing w:line="360" w:lineRule="auto"/>
        <w:rPr>
          <w:rFonts w:ascii="宋体"/>
          <w:sz w:val="24"/>
        </w:rPr>
      </w:pPr>
      <w:r>
        <w:rPr>
          <w:rFonts w:ascii="宋体" w:hint="eastAsia"/>
          <w:sz w:val="24"/>
        </w:rPr>
        <w:t>（一）具有独立承担民事责任的能力</w:t>
      </w:r>
      <w:r>
        <w:rPr>
          <w:rFonts w:ascii="宋体"/>
          <w:sz w:val="24"/>
        </w:rPr>
        <w:t xml:space="preserve">, </w:t>
      </w:r>
      <w:r>
        <w:rPr>
          <w:rFonts w:ascii="宋体" w:hint="eastAsia"/>
          <w:sz w:val="24"/>
        </w:rPr>
        <w:t>供应商法人营业执照（副本）或事业单位法人证书（副本）或个体工商户营业执照，供应商法定代表人身份证明和法定代表人授权代表委托书。供应商若为分支机构（公司）且非独立法人的，须提供其总公司（集团）出具的授权书（格式自定，并加盖总公司（集团）公章）；</w:t>
      </w:r>
    </w:p>
    <w:p>
      <w:pPr>
        <w:tabs>
          <w:tab w:val="left" w:pos="360"/>
          <w:tab w:val="left" w:pos="588"/>
        </w:tabs>
        <w:autoSpaceDN w:val="0"/>
        <w:spacing w:line="360" w:lineRule="auto"/>
        <w:rPr>
          <w:rFonts w:ascii="宋体"/>
          <w:sz w:val="24"/>
        </w:rPr>
      </w:pPr>
      <w:r>
        <w:rPr>
          <w:rFonts w:ascii="宋体" w:hint="eastAsia"/>
          <w:sz w:val="24"/>
        </w:rPr>
        <w:t>（二）具有良好的商业信誉和健全的财务会计制度, 供应商提供“基本资格条件承诺函”；</w:t>
      </w:r>
    </w:p>
    <w:p>
      <w:pPr>
        <w:tabs>
          <w:tab w:val="left" w:pos="360"/>
          <w:tab w:val="left" w:pos="588"/>
        </w:tabs>
        <w:autoSpaceDN w:val="0"/>
        <w:spacing w:line="360" w:lineRule="auto"/>
        <w:rPr>
          <w:rFonts w:ascii="宋体"/>
          <w:sz w:val="24"/>
        </w:rPr>
      </w:pPr>
      <w:r>
        <w:rPr>
          <w:rFonts w:ascii="宋体" w:hint="eastAsia"/>
          <w:sz w:val="24"/>
        </w:rPr>
        <w:t>（三）具有履行合同所必须的设备和专业技术能力, 供应商提供“基本资格条件承诺函”；</w:t>
      </w:r>
    </w:p>
    <w:p>
      <w:pPr>
        <w:tabs>
          <w:tab w:val="left" w:pos="360"/>
          <w:tab w:val="left" w:pos="588"/>
        </w:tabs>
        <w:autoSpaceDN w:val="0"/>
        <w:spacing w:line="360" w:lineRule="auto"/>
        <w:rPr>
          <w:rFonts w:ascii="宋体"/>
          <w:b/>
          <w:bCs/>
          <w:sz w:val="24"/>
        </w:rPr>
      </w:pPr>
      <w:r>
        <w:rPr>
          <w:rFonts w:ascii="宋体" w:hint="eastAsia"/>
          <w:sz w:val="24"/>
        </w:rPr>
        <w:t>（四）有依法缴纳税收和社会保障金的良好记录，供应商提供“基本资格条件承诺函”；</w:t>
      </w:r>
    </w:p>
    <w:p>
      <w:pPr>
        <w:spacing w:line="360" w:lineRule="auto"/>
        <w:rPr>
          <w:rFonts w:ascii="宋体"/>
          <w:sz w:val="24"/>
        </w:rPr>
      </w:pPr>
      <w:r>
        <w:rPr>
          <w:rFonts w:ascii="宋体" w:hint="eastAsia"/>
          <w:sz w:val="24"/>
        </w:rPr>
        <w:t>（五）参加政府采购活动近三年内，在经营活动中没有重大违法记录，供应商提供“基本资格条件承诺函”。</w:t>
      </w:r>
    </w:p>
    <w:p>
      <w:pPr>
        <w:spacing w:line="360" w:lineRule="auto"/>
        <w:rPr>
          <w:rFonts w:ascii="宋体"/>
          <w:b/>
          <w:kern w:val="0"/>
          <w:sz w:val="24"/>
          <w:szCs w:val="21"/>
        </w:rPr>
      </w:pPr>
      <w:r>
        <w:rPr>
          <w:rFonts w:ascii="宋体" w:hint="eastAsia"/>
          <w:b/>
          <w:kern w:val="0"/>
          <w:sz w:val="24"/>
          <w:szCs w:val="21"/>
        </w:rPr>
        <w:t>第二类文件：评审证明材料</w:t>
      </w:r>
    </w:p>
    <w:p>
      <w:pPr>
        <w:spacing w:line="360" w:lineRule="auto"/>
        <w:rPr>
          <w:rFonts w:ascii="宋体"/>
          <w:kern w:val="0"/>
          <w:sz w:val="24"/>
          <w:szCs w:val="21"/>
        </w:rPr>
      </w:pPr>
      <w:r>
        <w:rPr>
          <w:rFonts w:ascii="宋体" w:hint="eastAsia"/>
          <w:kern w:val="0"/>
          <w:sz w:val="24"/>
          <w:szCs w:val="21"/>
        </w:rPr>
        <w:t>★（一）基本文件</w:t>
      </w:r>
    </w:p>
    <w:p>
      <w:pPr>
        <w:spacing w:line="360" w:lineRule="auto"/>
        <w:rPr>
          <w:rFonts w:ascii="宋体"/>
          <w:kern w:val="0"/>
          <w:sz w:val="24"/>
          <w:szCs w:val="21"/>
        </w:rPr>
      </w:pPr>
      <w:r>
        <w:rPr>
          <w:rFonts w:ascii="宋体" w:hint="eastAsia"/>
          <w:kern w:val="0"/>
          <w:sz w:val="24"/>
          <w:szCs w:val="21"/>
        </w:rPr>
        <w:t>（</w:t>
      </w:r>
      <w:r>
        <w:rPr>
          <w:rFonts w:ascii="宋体"/>
          <w:kern w:val="0"/>
          <w:sz w:val="24"/>
          <w:szCs w:val="21"/>
        </w:rPr>
        <w:t>1</w:t>
      </w:r>
      <w:r>
        <w:rPr>
          <w:rFonts w:ascii="宋体" w:hint="eastAsia"/>
          <w:kern w:val="0"/>
          <w:sz w:val="24"/>
          <w:szCs w:val="21"/>
        </w:rPr>
        <w:t>）报价函，格式见附件；</w:t>
      </w:r>
    </w:p>
    <w:p>
      <w:pPr>
        <w:spacing w:line="360" w:lineRule="auto"/>
        <w:rPr>
          <w:rFonts w:ascii="宋体"/>
          <w:kern w:val="0"/>
          <w:sz w:val="24"/>
          <w:szCs w:val="21"/>
        </w:rPr>
      </w:pPr>
      <w:r>
        <w:rPr>
          <w:rFonts w:ascii="宋体" w:hint="eastAsia"/>
          <w:kern w:val="0"/>
          <w:sz w:val="24"/>
          <w:szCs w:val="21"/>
        </w:rPr>
        <w:t>（</w:t>
      </w:r>
      <w:r>
        <w:rPr>
          <w:rFonts w:ascii="宋体"/>
          <w:kern w:val="0"/>
          <w:sz w:val="24"/>
          <w:szCs w:val="21"/>
        </w:rPr>
        <w:t>2</w:t>
      </w:r>
      <w:r>
        <w:rPr>
          <w:rFonts w:ascii="宋体" w:hint="eastAsia"/>
          <w:kern w:val="0"/>
          <w:sz w:val="24"/>
          <w:szCs w:val="21"/>
        </w:rPr>
        <w:t>）项目报价表，格式见附件；</w:t>
      </w:r>
    </w:p>
    <w:p>
      <w:pPr>
        <w:spacing w:line="360" w:lineRule="auto"/>
        <w:rPr>
          <w:rFonts w:ascii="宋体"/>
          <w:kern w:val="0"/>
          <w:sz w:val="24"/>
          <w:szCs w:val="21"/>
        </w:rPr>
      </w:pPr>
      <w:r>
        <w:rPr>
          <w:rFonts w:ascii="宋体" w:hint="eastAsia"/>
          <w:kern w:val="0"/>
          <w:sz w:val="24"/>
          <w:szCs w:val="21"/>
        </w:rPr>
        <w:t>（二）商务资格证明文件</w:t>
      </w:r>
    </w:p>
    <w:p>
      <w:pPr>
        <w:spacing w:line="360" w:lineRule="auto"/>
        <w:rPr>
          <w:rFonts w:ascii="宋体"/>
          <w:kern w:val="0"/>
          <w:sz w:val="24"/>
          <w:szCs w:val="21"/>
        </w:rPr>
      </w:pPr>
      <w:r>
        <w:rPr>
          <w:rFonts w:ascii="宋体" w:hint="eastAsia"/>
          <w:kern w:val="0"/>
          <w:sz w:val="24"/>
          <w:szCs w:val="21"/>
        </w:rPr>
        <w:t>（</w:t>
      </w:r>
      <w:r>
        <w:rPr>
          <w:rFonts w:ascii="宋体"/>
          <w:kern w:val="0"/>
          <w:sz w:val="24"/>
          <w:szCs w:val="21"/>
        </w:rPr>
        <w:t>1</w:t>
      </w:r>
      <w:r>
        <w:rPr>
          <w:rFonts w:ascii="宋体" w:hint="eastAsia"/>
          <w:kern w:val="0"/>
          <w:sz w:val="24"/>
          <w:szCs w:val="21"/>
        </w:rPr>
        <w:t>）当供应商为中小企业时，须提供《中小企业声明函》</w:t>
      </w:r>
      <w:r>
        <w:rPr>
          <w:rFonts w:ascii="宋体"/>
          <w:kern w:val="0"/>
          <w:sz w:val="24"/>
          <w:szCs w:val="21"/>
        </w:rPr>
        <w:t>,</w:t>
      </w:r>
      <w:r>
        <w:rPr>
          <w:rFonts w:ascii="宋体" w:hint="eastAsia"/>
          <w:kern w:val="0"/>
          <w:sz w:val="24"/>
          <w:szCs w:val="21"/>
        </w:rPr>
        <w:t>声明函格式见附件；监狱企业参加本次采购活动的，应当提供由省级以上监狱管理局、戒毒管理局</w:t>
      </w:r>
      <w:r>
        <w:rPr>
          <w:rFonts w:ascii="宋体"/>
          <w:kern w:val="0"/>
          <w:sz w:val="24"/>
          <w:szCs w:val="21"/>
        </w:rPr>
        <w:t>(</w:t>
      </w:r>
      <w:r>
        <w:rPr>
          <w:rFonts w:ascii="宋体" w:hint="eastAsia"/>
          <w:kern w:val="0"/>
          <w:sz w:val="24"/>
          <w:szCs w:val="21"/>
        </w:rPr>
        <w:t>含新疆生产建设兵团</w:t>
      </w:r>
      <w:r>
        <w:rPr>
          <w:rFonts w:ascii="宋体"/>
          <w:kern w:val="0"/>
          <w:sz w:val="24"/>
          <w:szCs w:val="21"/>
        </w:rPr>
        <w:t>)</w:t>
      </w:r>
      <w:r>
        <w:rPr>
          <w:rFonts w:ascii="宋体" w:hint="eastAsia"/>
          <w:kern w:val="0"/>
          <w:sz w:val="24"/>
          <w:szCs w:val="21"/>
        </w:rPr>
        <w:t>出具的属于监狱企业的证明文件；残疾人福利性单位须提供《残疾人福利性单位声明函》，格式见附件；</w:t>
      </w:r>
    </w:p>
    <w:p>
      <w:pPr>
        <w:adjustRightInd w:val="0"/>
        <w:spacing w:line="360" w:lineRule="auto"/>
        <w:textAlignment w:val="baseline"/>
        <w:rPr>
          <w:rFonts w:ascii="宋体"/>
          <w:kern w:val="0"/>
          <w:sz w:val="24"/>
          <w:szCs w:val="21"/>
        </w:rPr>
      </w:pPr>
      <w:r>
        <w:rPr>
          <w:rFonts w:ascii="宋体" w:hint="eastAsia"/>
          <w:kern w:val="0"/>
          <w:sz w:val="24"/>
          <w:szCs w:val="21"/>
        </w:rPr>
        <w:t>（三</w:t>
      </w:r>
      <w:r>
        <w:rPr>
          <w:rFonts w:ascii="宋体"/>
          <w:kern w:val="0"/>
          <w:sz w:val="24"/>
          <w:szCs w:val="21"/>
        </w:rPr>
        <w:t>)</w:t>
      </w:r>
      <w:r>
        <w:rPr>
          <w:rFonts w:ascii="宋体" w:hint="eastAsia"/>
          <w:kern w:val="0"/>
          <w:sz w:val="24"/>
          <w:szCs w:val="21"/>
        </w:rPr>
        <w:t>项目需求应答文件</w:t>
      </w:r>
    </w:p>
    <w:p>
      <w:pPr>
        <w:autoSpaceDN w:val="0"/>
        <w:spacing w:line="360" w:lineRule="auto"/>
      </w:pPr>
      <w:r>
        <w:rPr>
          <w:rFonts w:ascii="宋体" w:hint="eastAsia"/>
          <w:sz w:val="24"/>
        </w:rPr>
        <w:t>★（</w:t>
      </w:r>
      <w:r>
        <w:rPr>
          <w:rFonts w:ascii="宋体"/>
          <w:sz w:val="24"/>
        </w:rPr>
        <w:t>1</w:t>
      </w:r>
      <w:r>
        <w:rPr>
          <w:rFonts w:ascii="宋体" w:hint="eastAsia"/>
          <w:sz w:val="24"/>
        </w:rPr>
        <w:t>）《技术/</w:t>
      </w:r>
      <w:r>
        <w:rPr>
          <w:rFonts w:ascii="宋体" w:hint="eastAsia"/>
          <w:kern w:val="0"/>
          <w:sz w:val="24"/>
          <w:szCs w:val="21"/>
        </w:rPr>
        <w:t>服务偏离表》</w:t>
      </w:r>
      <w:r>
        <w:rPr>
          <w:rFonts w:ascii="宋体" w:hint="eastAsia"/>
          <w:sz w:val="24"/>
        </w:rPr>
        <w:t>：须按照第三章“项目需求”中有关要求</w:t>
      </w:r>
      <w:r>
        <w:rPr>
          <w:rFonts w:ascii="宋体" w:hint="eastAsia"/>
          <w:kern w:val="0"/>
          <w:sz w:val="24"/>
          <w:szCs w:val="21"/>
        </w:rPr>
        <w:t>进行逐项应答并说明应答情况。</w:t>
      </w:r>
      <w:r>
        <w:rPr>
          <w:rFonts w:ascii="宋体" w:hint="eastAsia"/>
          <w:sz w:val="24"/>
        </w:rPr>
        <w:t>对于可以用量化形式表示的条款,供应商必须明确回答,对于非量化的条款供应商应以功能描述回答,指出所提供的货物/服务是否做出实质性的响应,任何通过简单拷贝征求报价通知书的技术规范要求或简单标注“符合”、“满足”的响应文件将被拒绝；</w:t>
      </w:r>
    </w:p>
    <w:p>
      <w:pPr>
        <w:autoSpaceDN w:val="0"/>
        <w:spacing w:line="360" w:lineRule="auto"/>
        <w:rPr>
          <w:rFonts w:ascii="宋体"/>
          <w:b/>
          <w:bCs/>
          <w:sz w:val="24"/>
        </w:rPr>
      </w:pPr>
      <w:r>
        <w:rPr>
          <w:rFonts w:ascii="宋体" w:hint="eastAsia"/>
          <w:b/>
          <w:bCs/>
          <w:sz w:val="24"/>
        </w:rPr>
        <w:t>（2）报价产品的技术说明、技术指标、供货配置清单；</w:t>
      </w:r>
    </w:p>
    <w:p>
      <w:pPr>
        <w:autoSpaceDN w:val="0"/>
        <w:spacing w:line="360" w:lineRule="auto"/>
        <w:rPr>
          <w:rFonts w:ascii="宋体"/>
          <w:sz w:val="24"/>
        </w:rPr>
      </w:pPr>
      <w:r>
        <w:rPr>
          <w:rFonts w:ascii="宋体" w:hint="eastAsia"/>
          <w:sz w:val="24"/>
        </w:rPr>
        <w:t>（3）其他证明技术服务满足征求报价文件要求的材料。</w:t>
      </w:r>
    </w:p>
    <w:p>
      <w:pPr>
        <w:tabs>
          <w:tab w:val="left" w:pos="588"/>
        </w:tabs>
        <w:spacing w:line="360" w:lineRule="auto"/>
        <w:rPr>
          <w:rFonts w:ascii="宋体"/>
          <w:b/>
          <w:kern w:val="0"/>
          <w:sz w:val="24"/>
        </w:rPr>
      </w:pPr>
      <w:r>
        <w:rPr>
          <w:rFonts w:ascii="宋体" w:hint="eastAsia"/>
          <w:b/>
          <w:kern w:val="0"/>
          <w:sz w:val="24"/>
        </w:rPr>
        <w:t>重要提示：</w:t>
      </w:r>
    </w:p>
    <w:p>
      <w:pPr>
        <w:tabs>
          <w:tab w:val="left" w:pos="588"/>
        </w:tabs>
        <w:spacing w:line="360" w:lineRule="auto"/>
        <w:ind w:firstLineChars="196" w:firstLine="470"/>
        <w:rPr>
          <w:rFonts w:ascii="宋体"/>
          <w:b/>
          <w:kern w:val="0"/>
          <w:sz w:val="24"/>
        </w:rPr>
      </w:pPr>
      <w:r>
        <w:rPr>
          <w:rFonts w:ascii="宋体"/>
          <w:b/>
          <w:kern w:val="0"/>
          <w:sz w:val="24"/>
        </w:rPr>
        <w:t>1</w:t>
      </w:r>
      <w:r>
        <w:rPr>
          <w:rFonts w:ascii="宋体" w:hint="eastAsia"/>
          <w:b/>
          <w:kern w:val="0"/>
          <w:sz w:val="24"/>
        </w:rPr>
        <w:t>、供应商提供的以上材料必须真实有效，任何一项的虚假将导致无效应答，如发现提供虚假材料者，将按政府采购法律有关规定对当事人进行处罚。</w:t>
      </w:r>
    </w:p>
    <w:p>
      <w:pPr>
        <w:tabs>
          <w:tab w:val="left" w:pos="588"/>
        </w:tabs>
        <w:spacing w:line="360" w:lineRule="auto"/>
        <w:ind w:firstLineChars="196" w:firstLine="470"/>
        <w:rPr>
          <w:rFonts w:ascii="宋体"/>
          <w:b/>
          <w:kern w:val="0"/>
          <w:sz w:val="24"/>
        </w:rPr>
      </w:pPr>
      <w:r>
        <w:rPr>
          <w:rFonts w:ascii="宋体"/>
          <w:b/>
          <w:kern w:val="0"/>
          <w:sz w:val="24"/>
        </w:rPr>
        <w:t>2</w:t>
      </w:r>
      <w:r>
        <w:rPr>
          <w:rFonts w:ascii="宋体" w:hint="eastAsia"/>
          <w:b/>
          <w:kern w:val="0"/>
          <w:sz w:val="24"/>
        </w:rPr>
        <w:t>、上述文件中，所有带“★”的证明材料原件或复印件必须逐项加盖供应商公章，任何一项签章不完整都会导致无效应答。</w:t>
      </w:r>
    </w:p>
    <w:p>
      <w:pPr>
        <w:tabs>
          <w:tab w:val="left" w:pos="360"/>
        </w:tabs>
        <w:rPr>
          <w:rFonts w:ascii="宋体"/>
          <w:b/>
          <w:sz w:val="24"/>
          <w:szCs w:val="21"/>
        </w:rPr>
      </w:pPr>
      <w:bookmarkStart w:id="32" w:name="_Toc56534776"/>
      <w:bookmarkStart w:id="33" w:name="_Toc12890628"/>
      <w:r>
        <w:rPr>
          <w:rFonts w:ascii="宋体"/>
          <w:b/>
          <w:sz w:val="24"/>
        </w:rPr>
        <w:t>11.</w:t>
      </w:r>
      <w:r>
        <w:rPr>
          <w:rFonts w:ascii="宋体" w:hint="eastAsia"/>
          <w:b/>
          <w:sz w:val="24"/>
        </w:rPr>
        <w:t>应答文件格式</w:t>
      </w:r>
      <w:bookmarkEnd w:id="32"/>
      <w:bookmarkEnd w:id="33"/>
    </w:p>
    <w:p>
      <w:pPr>
        <w:numPr>
          <w:ilvl w:val="1"/>
          <w:numId w:val="3"/>
        </w:numPr>
        <w:tabs>
          <w:tab w:val="left" w:pos="588"/>
        </w:tabs>
        <w:spacing w:line="360" w:lineRule="auto"/>
        <w:rPr>
          <w:rFonts w:ascii="宋体"/>
          <w:kern w:val="24"/>
          <w:sz w:val="24"/>
          <w:szCs w:val="21"/>
        </w:rPr>
      </w:pPr>
      <w:r>
        <w:rPr>
          <w:rFonts w:ascii="宋体" w:hint="eastAsia"/>
          <w:kern w:val="24"/>
          <w:sz w:val="24"/>
          <w:szCs w:val="21"/>
        </w:rPr>
        <w:t>对于比选文件第六章中已经提供了格式的响应文件内容，供应商必须按提供的响应文件格式进行填写和编制，没有提供格式的可自行设计。</w:t>
      </w:r>
    </w:p>
    <w:p>
      <w:pPr>
        <w:tabs>
          <w:tab w:val="left" w:pos="360"/>
        </w:tabs>
        <w:rPr>
          <w:rFonts w:ascii="宋体"/>
          <w:b/>
          <w:sz w:val="24"/>
          <w:szCs w:val="21"/>
        </w:rPr>
      </w:pPr>
      <w:bookmarkStart w:id="34" w:name="_Toc12890629"/>
      <w:bookmarkStart w:id="35" w:name="_Toc56534777"/>
      <w:r>
        <w:rPr>
          <w:rFonts w:ascii="宋体"/>
          <w:b/>
          <w:sz w:val="24"/>
          <w:szCs w:val="21"/>
        </w:rPr>
        <w:t>12.</w:t>
      </w:r>
      <w:r>
        <w:rPr>
          <w:rFonts w:ascii="宋体" w:hint="eastAsia"/>
          <w:b/>
          <w:sz w:val="24"/>
          <w:szCs w:val="21"/>
        </w:rPr>
        <w:t>响应报价</w:t>
      </w:r>
      <w:bookmarkEnd w:id="34"/>
      <w:bookmarkEnd w:id="35"/>
    </w:p>
    <w:p>
      <w:pPr>
        <w:numPr>
          <w:ilvl w:val="1"/>
          <w:numId w:val="4"/>
        </w:numPr>
        <w:tabs>
          <w:tab w:val="left" w:pos="540"/>
          <w:tab w:val="left" w:pos="720"/>
        </w:tabs>
        <w:spacing w:line="360" w:lineRule="auto"/>
        <w:ind w:left="2"/>
        <w:rPr>
          <w:rFonts w:ascii="宋体"/>
          <w:kern w:val="24"/>
          <w:sz w:val="24"/>
          <w:szCs w:val="21"/>
        </w:rPr>
      </w:pPr>
      <w:r>
        <w:rPr>
          <w:rFonts w:ascii="宋体"/>
          <w:kern w:val="24"/>
          <w:sz w:val="24"/>
          <w:szCs w:val="21"/>
        </w:rPr>
        <w:t xml:space="preserve"> </w:t>
      </w:r>
      <w:r>
        <w:rPr>
          <w:rFonts w:ascii="宋体" w:hint="eastAsia"/>
          <w:kern w:val="24"/>
          <w:sz w:val="24"/>
          <w:szCs w:val="21"/>
        </w:rPr>
        <w:t>响应报价应包括供应商为完成比选文件中规定的本项目采购内容和范围所需要的全部费用，具体包括但不限于供应商须知前附表第</w:t>
      </w:r>
      <w:r>
        <w:rPr>
          <w:rFonts w:ascii="宋体"/>
          <w:kern w:val="24"/>
          <w:sz w:val="24"/>
          <w:szCs w:val="21"/>
        </w:rPr>
        <w:t>5</w:t>
      </w:r>
      <w:r>
        <w:rPr>
          <w:rFonts w:ascii="宋体" w:hint="eastAsia"/>
          <w:kern w:val="24"/>
          <w:sz w:val="24"/>
          <w:szCs w:val="21"/>
        </w:rPr>
        <w:t>项列出的内容，以及与所报货物</w:t>
      </w:r>
      <w:r>
        <w:rPr>
          <w:rFonts w:ascii="宋体"/>
          <w:kern w:val="24"/>
          <w:sz w:val="24"/>
          <w:szCs w:val="21"/>
        </w:rPr>
        <w:t>/</w:t>
      </w:r>
      <w:r>
        <w:rPr>
          <w:rFonts w:ascii="宋体" w:hint="eastAsia"/>
          <w:kern w:val="24"/>
          <w:sz w:val="24"/>
          <w:szCs w:val="21"/>
        </w:rPr>
        <w:t>服务相关的所有税费。供应商估算错误或漏项的风险一律由供应商承担。</w:t>
      </w:r>
    </w:p>
    <w:p>
      <w:pPr>
        <w:numPr>
          <w:ilvl w:val="1"/>
          <w:numId w:val="4"/>
        </w:numPr>
        <w:tabs>
          <w:tab w:val="left" w:pos="540"/>
        </w:tabs>
        <w:spacing w:line="360" w:lineRule="auto"/>
        <w:ind w:left="2"/>
        <w:rPr>
          <w:rFonts w:ascii="宋体"/>
          <w:kern w:val="24"/>
          <w:sz w:val="24"/>
          <w:szCs w:val="21"/>
        </w:rPr>
      </w:pPr>
      <w:r>
        <w:rPr>
          <w:rFonts w:ascii="宋体"/>
          <w:kern w:val="24"/>
          <w:sz w:val="24"/>
          <w:szCs w:val="21"/>
        </w:rPr>
        <w:t xml:space="preserve"> </w:t>
      </w:r>
      <w:r>
        <w:rPr>
          <w:rFonts w:ascii="宋体" w:hint="eastAsia"/>
          <w:kern w:val="24"/>
          <w:sz w:val="24"/>
          <w:szCs w:val="21"/>
        </w:rPr>
        <w:t>供应商应在报价清单中详细列出所报</w:t>
      </w:r>
      <w:r>
        <w:rPr>
          <w:rFonts w:ascii="宋体" w:hint="eastAsia"/>
          <w:sz w:val="24"/>
        </w:rPr>
        <w:t>货物及服务</w:t>
      </w:r>
      <w:r>
        <w:rPr>
          <w:rFonts w:ascii="宋体" w:hint="eastAsia"/>
          <w:kern w:val="24"/>
          <w:sz w:val="24"/>
          <w:szCs w:val="21"/>
        </w:rPr>
        <w:t>的单价和总价，并由法定代表人或其授权代表签署。报价清单上的价格应按比选文件第五章的格式填写。</w:t>
      </w:r>
    </w:p>
    <w:p>
      <w:pPr>
        <w:numPr>
          <w:ilvl w:val="1"/>
          <w:numId w:val="4"/>
        </w:numPr>
        <w:tabs>
          <w:tab w:val="left" w:pos="180"/>
          <w:tab w:val="left" w:pos="540"/>
        </w:tabs>
        <w:spacing w:line="360" w:lineRule="auto"/>
        <w:ind w:left="2"/>
        <w:rPr>
          <w:rFonts w:ascii="宋体"/>
          <w:kern w:val="24"/>
          <w:sz w:val="24"/>
          <w:szCs w:val="21"/>
        </w:rPr>
      </w:pPr>
      <w:r>
        <w:rPr>
          <w:rFonts w:ascii="宋体"/>
          <w:kern w:val="24"/>
          <w:sz w:val="24"/>
          <w:szCs w:val="21"/>
        </w:rPr>
        <w:t xml:space="preserve"> </w:t>
      </w:r>
      <w:r>
        <w:rPr>
          <w:rFonts w:ascii="宋体" w:hint="eastAsia"/>
          <w:kern w:val="24"/>
          <w:sz w:val="24"/>
          <w:szCs w:val="21"/>
        </w:rPr>
        <w:t>报价清单的总价应和</w:t>
      </w:r>
      <w:r>
        <w:rPr>
          <w:rFonts w:ascii="宋体" w:cs="宋体" w:hint="eastAsia"/>
          <w:kern w:val="24"/>
          <w:sz w:val="24"/>
          <w:szCs w:val="21"/>
        </w:rPr>
        <w:t>项目报价表</w:t>
      </w:r>
      <w:r>
        <w:rPr>
          <w:rFonts w:ascii="宋体" w:hint="eastAsia"/>
          <w:kern w:val="24"/>
          <w:sz w:val="24"/>
          <w:szCs w:val="21"/>
        </w:rPr>
        <w:t>的响应报价相一致，也包括供应商为完成本项目所发生的一切费用且已包括与所报货物</w:t>
      </w:r>
      <w:r>
        <w:rPr>
          <w:rFonts w:ascii="宋体"/>
          <w:kern w:val="24"/>
          <w:sz w:val="24"/>
          <w:szCs w:val="21"/>
        </w:rPr>
        <w:t>/</w:t>
      </w:r>
      <w:r>
        <w:rPr>
          <w:rFonts w:ascii="宋体" w:hint="eastAsia"/>
          <w:kern w:val="24"/>
          <w:sz w:val="24"/>
          <w:szCs w:val="21"/>
        </w:rPr>
        <w:t>服务相关的所有税费。</w:t>
      </w:r>
    </w:p>
    <w:p>
      <w:pPr>
        <w:numPr>
          <w:ilvl w:val="1"/>
          <w:numId w:val="4"/>
        </w:numPr>
        <w:tabs>
          <w:tab w:val="left" w:pos="180"/>
          <w:tab w:val="left" w:pos="540"/>
        </w:tabs>
        <w:spacing w:line="360" w:lineRule="auto"/>
        <w:ind w:left="2"/>
        <w:rPr>
          <w:rFonts w:ascii="宋体"/>
          <w:kern w:val="24"/>
          <w:sz w:val="24"/>
          <w:szCs w:val="21"/>
        </w:rPr>
      </w:pPr>
      <w:r>
        <w:rPr>
          <w:rFonts w:ascii="宋体"/>
          <w:kern w:val="24"/>
          <w:sz w:val="24"/>
          <w:szCs w:val="21"/>
        </w:rPr>
        <w:t xml:space="preserve"> </w:t>
      </w:r>
      <w:r>
        <w:rPr>
          <w:rFonts w:ascii="宋体" w:hint="eastAsia"/>
          <w:kern w:val="24"/>
          <w:sz w:val="24"/>
          <w:szCs w:val="21"/>
        </w:rPr>
        <w:t>供应商的报价在合同执行过程中是固定不变的，未经采购人许可不得以任何理由予以变更。以可调整的价格提交的响应文件将作为非实质性响应而予以拒绝。</w:t>
      </w:r>
    </w:p>
    <w:p>
      <w:pPr>
        <w:tabs>
          <w:tab w:val="left" w:pos="360"/>
          <w:tab w:val="left" w:pos="588"/>
        </w:tabs>
        <w:spacing w:line="360" w:lineRule="auto"/>
        <w:rPr>
          <w:rFonts w:ascii="宋体"/>
          <w:kern w:val="24"/>
          <w:sz w:val="24"/>
          <w:szCs w:val="21"/>
        </w:rPr>
      </w:pPr>
      <w:r>
        <w:rPr>
          <w:rFonts w:ascii="宋体"/>
          <w:kern w:val="24"/>
          <w:sz w:val="24"/>
          <w:szCs w:val="21"/>
        </w:rPr>
        <w:t xml:space="preserve">12.5 </w:t>
      </w:r>
      <w:r>
        <w:rPr>
          <w:rFonts w:ascii="宋体" w:hint="eastAsia"/>
          <w:kern w:val="24"/>
          <w:sz w:val="24"/>
          <w:szCs w:val="21"/>
        </w:rPr>
        <w:t>供应商对每种货物或服务只允许有一个报价，采购人不接受有任何选择的报价。</w:t>
      </w:r>
    </w:p>
    <w:p>
      <w:pPr>
        <w:tabs>
          <w:tab w:val="left" w:pos="360"/>
        </w:tabs>
        <w:rPr>
          <w:rFonts w:ascii="宋体"/>
          <w:b/>
          <w:sz w:val="24"/>
          <w:szCs w:val="21"/>
        </w:rPr>
      </w:pPr>
      <w:bookmarkStart w:id="36" w:name="_Toc56534778"/>
      <w:bookmarkStart w:id="37" w:name="_Toc12890630"/>
      <w:r>
        <w:rPr>
          <w:rFonts w:ascii="宋体"/>
          <w:b/>
          <w:sz w:val="24"/>
          <w:szCs w:val="21"/>
        </w:rPr>
        <w:t>13.</w:t>
      </w:r>
      <w:r>
        <w:rPr>
          <w:rFonts w:ascii="宋体" w:hint="eastAsia"/>
          <w:b/>
          <w:sz w:val="24"/>
          <w:szCs w:val="21"/>
        </w:rPr>
        <w:t>报价货币</w:t>
      </w:r>
      <w:bookmarkEnd w:id="36"/>
      <w:bookmarkEnd w:id="37"/>
    </w:p>
    <w:p>
      <w:pPr>
        <w:numPr>
          <w:ilvl w:val="1"/>
          <w:numId w:val="5"/>
        </w:numPr>
        <w:tabs>
          <w:tab w:val="left" w:pos="180"/>
          <w:tab w:val="left" w:pos="540"/>
        </w:tabs>
        <w:spacing w:line="360" w:lineRule="auto"/>
        <w:ind w:left="2"/>
        <w:rPr>
          <w:rFonts w:ascii="宋体"/>
          <w:kern w:val="24"/>
          <w:sz w:val="24"/>
          <w:szCs w:val="21"/>
        </w:rPr>
      </w:pPr>
      <w:r>
        <w:rPr>
          <w:rFonts w:ascii="宋体" w:hint="eastAsia"/>
          <w:kern w:val="24"/>
          <w:sz w:val="24"/>
          <w:szCs w:val="21"/>
        </w:rPr>
        <w:t>所有报价一律用人民币填报。采购人不接受任何非人民币币种的报价。</w:t>
      </w:r>
    </w:p>
    <w:p>
      <w:pPr>
        <w:tabs>
          <w:tab w:val="left" w:pos="360"/>
        </w:tabs>
        <w:rPr>
          <w:rFonts w:ascii="宋体"/>
          <w:b/>
          <w:sz w:val="24"/>
          <w:szCs w:val="21"/>
        </w:rPr>
      </w:pPr>
      <w:bookmarkStart w:id="38" w:name="_Toc12890631"/>
      <w:bookmarkStart w:id="39" w:name="_Toc56534780"/>
      <w:r>
        <w:rPr>
          <w:rFonts w:ascii="宋体"/>
          <w:b/>
          <w:sz w:val="24"/>
          <w:szCs w:val="21"/>
        </w:rPr>
        <w:t>14.</w:t>
      </w:r>
      <w:r>
        <w:rPr>
          <w:rFonts w:ascii="宋体" w:hint="eastAsia"/>
          <w:b/>
          <w:sz w:val="24"/>
          <w:szCs w:val="21"/>
        </w:rPr>
        <w:t>报价有效期</w:t>
      </w:r>
      <w:bookmarkEnd w:id="38"/>
      <w:bookmarkEnd w:id="39"/>
    </w:p>
    <w:p>
      <w:pPr>
        <w:tabs>
          <w:tab w:val="left" w:pos="360"/>
          <w:tab w:val="left" w:pos="588"/>
        </w:tabs>
        <w:spacing w:line="360" w:lineRule="auto"/>
        <w:rPr>
          <w:rFonts w:ascii="宋体"/>
          <w:sz w:val="24"/>
        </w:rPr>
      </w:pPr>
      <w:r>
        <w:rPr>
          <w:rFonts w:ascii="宋体"/>
          <w:sz w:val="24"/>
        </w:rPr>
        <w:t>14.1</w:t>
      </w:r>
      <w:r>
        <w:rPr>
          <w:rFonts w:ascii="宋体" w:hint="eastAsia"/>
          <w:sz w:val="24"/>
        </w:rPr>
        <w:t>报价有效期见本须知前附表。在报价有效期内，所有响应文件均保持有效。响应文件的有效期比本须知规定的有效期短的，将被视为非实质响应，采购人有权拒绝。</w:t>
      </w:r>
    </w:p>
    <w:p>
      <w:pPr>
        <w:tabs>
          <w:tab w:val="left" w:pos="360"/>
          <w:tab w:val="left" w:pos="588"/>
        </w:tabs>
        <w:spacing w:line="360" w:lineRule="auto"/>
        <w:rPr>
          <w:rFonts w:ascii="宋体"/>
          <w:sz w:val="24"/>
        </w:rPr>
      </w:pPr>
      <w:r>
        <w:rPr>
          <w:rFonts w:ascii="宋体"/>
          <w:sz w:val="24"/>
        </w:rPr>
        <w:t>14.2</w:t>
      </w:r>
      <w:r>
        <w:rPr>
          <w:rFonts w:ascii="宋体" w:hint="eastAsia"/>
          <w:sz w:val="24"/>
        </w:rPr>
        <w:t>特殊情况下，采购人可于原报价有效期满之前要求供应商同意延长有效期，要求与答复均应为书面形式。</w:t>
      </w:r>
    </w:p>
    <w:p>
      <w:pPr>
        <w:tabs>
          <w:tab w:val="left" w:pos="360"/>
        </w:tabs>
        <w:rPr>
          <w:rFonts w:ascii="宋体"/>
          <w:b/>
          <w:sz w:val="24"/>
          <w:szCs w:val="21"/>
        </w:rPr>
      </w:pPr>
      <w:bookmarkStart w:id="40" w:name="_Toc56534781"/>
      <w:bookmarkStart w:id="41" w:name="_Toc12890632"/>
      <w:r>
        <w:rPr>
          <w:rFonts w:ascii="宋体"/>
          <w:b/>
          <w:sz w:val="24"/>
          <w:szCs w:val="21"/>
        </w:rPr>
        <w:t>15.</w:t>
      </w:r>
      <w:r>
        <w:rPr>
          <w:rFonts w:ascii="宋体" w:hint="eastAsia"/>
          <w:b/>
          <w:sz w:val="24"/>
          <w:szCs w:val="21"/>
        </w:rPr>
        <w:t>响应文件的制作和签署</w:t>
      </w:r>
      <w:bookmarkEnd w:id="40"/>
      <w:bookmarkEnd w:id="41"/>
    </w:p>
    <w:p>
      <w:pPr>
        <w:tabs>
          <w:tab w:val="left" w:pos="360"/>
          <w:tab w:val="left" w:pos="588"/>
        </w:tabs>
        <w:spacing w:line="360" w:lineRule="auto"/>
        <w:rPr>
          <w:rFonts w:ascii="宋体"/>
          <w:sz w:val="24"/>
        </w:rPr>
      </w:pPr>
      <w:r>
        <w:rPr>
          <w:rFonts w:ascii="宋体"/>
          <w:sz w:val="24"/>
        </w:rPr>
        <w:t>15.1</w:t>
      </w:r>
      <w:r>
        <w:rPr>
          <w:rFonts w:ascii="宋体" w:hint="eastAsia"/>
          <w:sz w:val="24"/>
        </w:rPr>
        <w:t>供应商应准备响应文件正本一份，副本一份。</w:t>
      </w:r>
    </w:p>
    <w:p>
      <w:pPr>
        <w:tabs>
          <w:tab w:val="left" w:pos="0"/>
        </w:tabs>
        <w:spacing w:line="360" w:lineRule="auto"/>
        <w:ind w:firstLineChars="200" w:firstLine="480"/>
        <w:rPr>
          <w:rFonts w:ascii="宋体"/>
          <w:sz w:val="24"/>
        </w:rPr>
      </w:pPr>
      <w:r>
        <w:rPr>
          <w:rFonts w:ascii="宋体" w:hint="eastAsia"/>
          <w:sz w:val="24"/>
        </w:rPr>
        <w:t>响应文件须用中文编写，</w:t>
      </w:r>
      <w:r>
        <w:rPr>
          <w:rFonts w:ascii="宋体" w:hint="eastAsia"/>
          <w:b/>
          <w:kern w:val="0"/>
          <w:sz w:val="24"/>
        </w:rPr>
        <w:t>并用</w:t>
      </w:r>
      <w:r>
        <w:rPr>
          <w:rFonts w:ascii="宋体"/>
          <w:b/>
          <w:kern w:val="0"/>
          <w:sz w:val="24"/>
        </w:rPr>
        <w:t>A4</w:t>
      </w:r>
      <w:r>
        <w:rPr>
          <w:rFonts w:ascii="宋体" w:hint="eastAsia"/>
          <w:b/>
          <w:kern w:val="0"/>
          <w:sz w:val="24"/>
        </w:rPr>
        <w:t>纸双面打印后装订成册，每一页都应标有连续页码，不得留有空白页（如隔页纸）；装订须牢固不易拆散和换页，不得采用活页方式装订，不得采用塑料胶条或塑料封面等；响应文件厚度不得超过</w:t>
      </w:r>
      <w:r>
        <w:rPr>
          <w:rFonts w:ascii="宋体"/>
          <w:b/>
          <w:kern w:val="0"/>
          <w:sz w:val="24"/>
        </w:rPr>
        <w:t>3</w:t>
      </w:r>
      <w:r>
        <w:rPr>
          <w:rFonts w:ascii="宋体" w:hint="eastAsia"/>
          <w:b/>
          <w:kern w:val="0"/>
          <w:sz w:val="24"/>
        </w:rPr>
        <w:t>公分（约</w:t>
      </w:r>
      <w:r>
        <w:rPr>
          <w:rFonts w:ascii="宋体"/>
          <w:b/>
          <w:kern w:val="0"/>
          <w:sz w:val="24"/>
        </w:rPr>
        <w:t>300</w:t>
      </w:r>
      <w:r>
        <w:rPr>
          <w:rFonts w:ascii="宋体" w:hint="eastAsia"/>
          <w:b/>
          <w:kern w:val="0"/>
          <w:sz w:val="24"/>
        </w:rPr>
        <w:t>页），超出部分应当分册装订，不得采用硬质封面。未按要求装订将视作无效投标。</w:t>
      </w:r>
    </w:p>
    <w:p>
      <w:pPr>
        <w:tabs>
          <w:tab w:val="left" w:pos="360"/>
          <w:tab w:val="left" w:pos="588"/>
        </w:tabs>
        <w:spacing w:line="360" w:lineRule="auto"/>
        <w:rPr>
          <w:rFonts w:ascii="宋体"/>
          <w:sz w:val="24"/>
        </w:rPr>
      </w:pPr>
      <w:r>
        <w:rPr>
          <w:rFonts w:ascii="宋体"/>
          <w:sz w:val="24"/>
        </w:rPr>
        <w:t>15.2</w:t>
      </w:r>
      <w:r>
        <w:rPr>
          <w:rFonts w:ascii="宋体" w:hint="eastAsia"/>
          <w:sz w:val="24"/>
        </w:rPr>
        <w:t>响应文件的正本，一律用不褪色的墨水书写或打印，加盖供应商单位公章，并由供应商的法定代表人或其授权的代理人签署。响应文件的副本可采用正本的复印件。</w:t>
      </w:r>
    </w:p>
    <w:p>
      <w:pPr>
        <w:tabs>
          <w:tab w:val="left" w:pos="360"/>
          <w:tab w:val="left" w:pos="588"/>
        </w:tabs>
        <w:spacing w:line="360" w:lineRule="auto"/>
        <w:rPr>
          <w:rFonts w:ascii="宋体"/>
          <w:sz w:val="24"/>
        </w:rPr>
      </w:pPr>
      <w:r>
        <w:rPr>
          <w:rFonts w:ascii="宋体"/>
          <w:sz w:val="24"/>
        </w:rPr>
        <w:t>15.3</w:t>
      </w:r>
      <w:r>
        <w:rPr>
          <w:rFonts w:ascii="宋体" w:hint="eastAsia"/>
          <w:sz w:val="24"/>
        </w:rPr>
        <w:t>任何行间插字、涂改或增删，必须由响应文件签字人将姓或首字母在旁边签字才有效。</w:t>
      </w:r>
    </w:p>
    <w:p>
      <w:pPr>
        <w:tabs>
          <w:tab w:val="left" w:pos="360"/>
          <w:tab w:val="left" w:pos="588"/>
        </w:tabs>
        <w:spacing w:line="360" w:lineRule="auto"/>
        <w:rPr>
          <w:rFonts w:ascii="宋体"/>
          <w:sz w:val="24"/>
        </w:rPr>
      </w:pPr>
      <w:r>
        <w:rPr>
          <w:rFonts w:ascii="宋体"/>
          <w:sz w:val="24"/>
        </w:rPr>
        <w:t>15.4</w:t>
      </w:r>
      <w:r>
        <w:rPr>
          <w:rFonts w:ascii="宋体" w:hint="eastAsia"/>
          <w:sz w:val="24"/>
        </w:rPr>
        <w:t>采购人拒绝接受以电报、电话、传真、电子邮件形式递交的响应文件。</w:t>
      </w:r>
    </w:p>
    <w:p>
      <w:pPr>
        <w:tabs>
          <w:tab w:val="left" w:pos="360"/>
          <w:tab w:val="left" w:pos="588"/>
        </w:tabs>
        <w:spacing w:line="360" w:lineRule="auto"/>
        <w:rPr>
          <w:rFonts w:ascii="宋体"/>
          <w:sz w:val="24"/>
        </w:rPr>
      </w:pPr>
      <w:r>
        <w:rPr>
          <w:rFonts w:ascii="宋体"/>
          <w:sz w:val="24"/>
        </w:rPr>
        <w:t>15.5</w:t>
      </w:r>
      <w:r>
        <w:rPr>
          <w:rFonts w:ascii="宋体" w:hint="eastAsia"/>
          <w:sz w:val="24"/>
        </w:rPr>
        <w:t>供应商在报价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tabs>
          <w:tab w:val="left" w:pos="360"/>
          <w:tab w:val="left" w:pos="588"/>
        </w:tabs>
        <w:spacing w:line="360" w:lineRule="auto"/>
        <w:rPr>
          <w:rFonts w:ascii="宋体"/>
          <w:kern w:val="0"/>
          <w:sz w:val="24"/>
        </w:rPr>
      </w:pPr>
      <w:r>
        <w:rPr>
          <w:rFonts w:ascii="宋体"/>
          <w:kern w:val="0"/>
          <w:sz w:val="24"/>
        </w:rPr>
        <w:t>15.6</w:t>
      </w:r>
      <w:r>
        <w:rPr>
          <w:rFonts w:ascii="宋体" w:hint="eastAsia"/>
          <w:kern w:val="0"/>
          <w:sz w:val="24"/>
        </w:rPr>
        <w:t>若供应商对本项目的多个包进行报价，则文件须按包分别编制并装订提交。</w:t>
      </w:r>
    </w:p>
    <w:p>
      <w:pPr>
        <w:spacing w:afterLines="50" w:after="120"/>
        <w:jc w:val="center"/>
        <w:rPr>
          <w:rFonts w:ascii="宋体"/>
          <w:sz w:val="24"/>
          <w:szCs w:val="21"/>
        </w:rPr>
      </w:pPr>
      <w:bookmarkStart w:id="42" w:name="_Toc76661227"/>
      <w:bookmarkStart w:id="43" w:name="_Toc419469192"/>
      <w:bookmarkStart w:id="44" w:name="_Toc400782004"/>
      <w:bookmarkStart w:id="45" w:name="_Toc12890633"/>
      <w:r>
        <w:rPr>
          <w:rFonts w:ascii="宋体" w:hint="eastAsia"/>
          <w:sz w:val="24"/>
          <w:szCs w:val="21"/>
        </w:rPr>
        <w:t>四、响应文件的递交</w:t>
      </w:r>
      <w:bookmarkEnd w:id="42"/>
      <w:bookmarkEnd w:id="43"/>
      <w:bookmarkEnd w:id="44"/>
      <w:bookmarkEnd w:id="45"/>
    </w:p>
    <w:p>
      <w:pPr>
        <w:tabs>
          <w:tab w:val="left" w:pos="360"/>
        </w:tabs>
        <w:rPr>
          <w:rFonts w:ascii="宋体"/>
          <w:b/>
          <w:bCs/>
          <w:snapToGrid w:val="0"/>
          <w:sz w:val="24"/>
          <w:szCs w:val="21"/>
        </w:rPr>
      </w:pPr>
      <w:bookmarkStart w:id="46" w:name="_Toc12890634"/>
      <w:r>
        <w:rPr>
          <w:rFonts w:ascii="宋体"/>
          <w:b/>
          <w:bCs/>
          <w:snapToGrid w:val="0"/>
          <w:sz w:val="24"/>
          <w:szCs w:val="21"/>
        </w:rPr>
        <w:t xml:space="preserve">16. </w:t>
      </w:r>
      <w:r>
        <w:rPr>
          <w:rFonts w:ascii="宋体" w:hint="eastAsia"/>
          <w:b/>
          <w:bCs/>
          <w:snapToGrid w:val="0"/>
          <w:sz w:val="24"/>
          <w:szCs w:val="21"/>
        </w:rPr>
        <w:t>响应文件的密封和标记</w:t>
      </w:r>
      <w:bookmarkEnd w:id="46"/>
    </w:p>
    <w:p>
      <w:pPr>
        <w:tabs>
          <w:tab w:val="left" w:pos="588"/>
        </w:tabs>
        <w:spacing w:afterLines="50" w:after="120"/>
        <w:rPr>
          <w:rFonts w:ascii="宋体"/>
          <w:sz w:val="24"/>
        </w:rPr>
      </w:pPr>
      <w:r>
        <w:rPr>
          <w:rFonts w:ascii="宋体"/>
          <w:sz w:val="24"/>
        </w:rPr>
        <w:t>16.1</w:t>
      </w:r>
      <w:r>
        <w:rPr>
          <w:rFonts w:ascii="宋体" w:hint="eastAsia"/>
          <w:b/>
          <w:sz w:val="24"/>
        </w:rPr>
        <w:t>供应商应将响应文件正、副本封装在一个密封袋内。</w:t>
      </w:r>
    </w:p>
    <w:p>
      <w:pPr>
        <w:tabs>
          <w:tab w:val="left" w:pos="588"/>
        </w:tabs>
        <w:spacing w:afterLines="50" w:after="120"/>
        <w:rPr>
          <w:rFonts w:ascii="宋体"/>
          <w:sz w:val="24"/>
        </w:rPr>
      </w:pPr>
      <w:r>
        <w:rPr>
          <w:rFonts w:ascii="宋体"/>
          <w:sz w:val="24"/>
        </w:rPr>
        <w:t>16.2</w:t>
      </w:r>
      <w:r>
        <w:rPr>
          <w:rFonts w:ascii="宋体" w:hint="eastAsia"/>
          <w:sz w:val="24"/>
        </w:rPr>
        <w:t>封装带均应：</w:t>
      </w:r>
    </w:p>
    <w:p>
      <w:pPr>
        <w:tabs>
          <w:tab w:val="left" w:pos="360"/>
          <w:tab w:val="left" w:pos="588"/>
        </w:tabs>
        <w:spacing w:line="360" w:lineRule="auto"/>
        <w:rPr>
          <w:rFonts w:ascii="宋体"/>
          <w:sz w:val="24"/>
        </w:rPr>
      </w:pPr>
      <w:r>
        <w:rPr>
          <w:rFonts w:ascii="宋体" w:hint="eastAsia"/>
          <w:sz w:val="24"/>
        </w:rPr>
        <w:t>（</w:t>
      </w:r>
      <w:r>
        <w:rPr>
          <w:rFonts w:ascii="宋体"/>
          <w:sz w:val="24"/>
        </w:rPr>
        <w:t>1</w:t>
      </w:r>
      <w:r>
        <w:rPr>
          <w:rFonts w:ascii="宋体" w:hint="eastAsia"/>
          <w:sz w:val="24"/>
        </w:rPr>
        <w:t>）标明递交至“供应商须知前附表”中指明的响应文件递交地点。</w:t>
      </w:r>
    </w:p>
    <w:p>
      <w:pPr>
        <w:tabs>
          <w:tab w:val="left" w:pos="360"/>
          <w:tab w:val="left" w:pos="588"/>
        </w:tabs>
        <w:spacing w:line="360" w:lineRule="auto"/>
        <w:rPr>
          <w:rFonts w:ascii="宋体"/>
          <w:sz w:val="24"/>
        </w:rPr>
      </w:pPr>
      <w:r>
        <w:rPr>
          <w:rFonts w:ascii="宋体" w:hint="eastAsia"/>
          <w:sz w:val="24"/>
        </w:rPr>
        <w:t>（</w:t>
      </w:r>
      <w:r>
        <w:rPr>
          <w:rFonts w:ascii="宋体"/>
          <w:sz w:val="24"/>
        </w:rPr>
        <w:t>2</w:t>
      </w:r>
      <w:r>
        <w:rPr>
          <w:rFonts w:ascii="宋体" w:hint="eastAsia"/>
          <w:sz w:val="24"/>
        </w:rPr>
        <w:t>）注明“供应商须知前附表”中指明的项目名称和“在</w:t>
      </w:r>
      <w:r>
        <w:rPr>
          <w:rFonts w:ascii="宋体"/>
          <w:sz w:val="24"/>
        </w:rPr>
        <w:t xml:space="preserve">          </w:t>
      </w:r>
      <w:r>
        <w:rPr>
          <w:rFonts w:ascii="宋体" w:hint="eastAsia"/>
          <w:sz w:val="24"/>
        </w:rPr>
        <w:t>之前不得启封”的字样，并填入“供应商须知前附表”中规定的响应文件递交截止时间。</w:t>
      </w:r>
    </w:p>
    <w:p>
      <w:pPr>
        <w:tabs>
          <w:tab w:val="left" w:pos="360"/>
          <w:tab w:val="left" w:pos="588"/>
        </w:tabs>
        <w:spacing w:line="360" w:lineRule="auto"/>
        <w:rPr>
          <w:rFonts w:ascii="宋体"/>
          <w:sz w:val="24"/>
        </w:rPr>
      </w:pPr>
      <w:r>
        <w:rPr>
          <w:rFonts w:ascii="宋体" w:hint="eastAsia"/>
          <w:sz w:val="24"/>
        </w:rPr>
        <w:t>（</w:t>
      </w:r>
      <w:r>
        <w:rPr>
          <w:rFonts w:ascii="宋体"/>
          <w:sz w:val="24"/>
        </w:rPr>
        <w:t>3</w:t>
      </w:r>
      <w:r>
        <w:rPr>
          <w:rFonts w:ascii="宋体" w:hint="eastAsia"/>
          <w:sz w:val="24"/>
        </w:rPr>
        <w:t>）所有密封袋上粘贴报价标志并加盖供应商公章，未按要求密封视为无效。</w:t>
      </w:r>
    </w:p>
    <w:p>
      <w:pPr>
        <w:tabs>
          <w:tab w:val="left" w:pos="360"/>
          <w:tab w:val="left" w:pos="588"/>
        </w:tabs>
        <w:spacing w:line="360" w:lineRule="auto"/>
        <w:rPr>
          <w:rFonts w:ascii="宋体"/>
          <w:sz w:val="24"/>
        </w:rPr>
      </w:pPr>
      <w:r>
        <w:rPr>
          <w:rFonts w:ascii="宋体"/>
          <w:sz w:val="24"/>
        </w:rPr>
        <w:t>16.3</w:t>
      </w:r>
      <w:r>
        <w:rPr>
          <w:rFonts w:ascii="宋体" w:hint="eastAsia"/>
          <w:sz w:val="24"/>
        </w:rPr>
        <w:t>供应商须由其合法的授权人在报价当日响应文件递交截止时间之前将响应文件在响应文件递交地点送达采购人并签字确认。供应商须承担因未送达并签字所造成的一切责任。</w:t>
      </w:r>
    </w:p>
    <w:p>
      <w:pPr>
        <w:tabs>
          <w:tab w:val="left" w:pos="360"/>
        </w:tabs>
        <w:rPr>
          <w:rFonts w:ascii="宋体"/>
          <w:sz w:val="24"/>
          <w:szCs w:val="21"/>
        </w:rPr>
      </w:pPr>
      <w:bookmarkStart w:id="47" w:name="_Toc12890635"/>
      <w:r>
        <w:rPr>
          <w:rFonts w:ascii="宋体"/>
          <w:b/>
          <w:bCs/>
          <w:snapToGrid w:val="0"/>
          <w:sz w:val="24"/>
          <w:szCs w:val="21"/>
        </w:rPr>
        <w:t xml:space="preserve">17. </w:t>
      </w:r>
      <w:r>
        <w:rPr>
          <w:rFonts w:ascii="宋体" w:hint="eastAsia"/>
          <w:b/>
          <w:bCs/>
          <w:snapToGrid w:val="0"/>
          <w:sz w:val="24"/>
          <w:szCs w:val="21"/>
        </w:rPr>
        <w:t>响应文件递交截止时间</w:t>
      </w:r>
      <w:bookmarkEnd w:id="47"/>
    </w:p>
    <w:p>
      <w:pPr>
        <w:tabs>
          <w:tab w:val="left" w:pos="360"/>
          <w:tab w:val="left" w:pos="588"/>
        </w:tabs>
        <w:spacing w:line="360" w:lineRule="auto"/>
        <w:rPr>
          <w:rFonts w:ascii="宋体"/>
          <w:sz w:val="24"/>
        </w:rPr>
      </w:pPr>
      <w:r>
        <w:rPr>
          <w:rFonts w:ascii="宋体"/>
          <w:sz w:val="24"/>
        </w:rPr>
        <w:t>17.1</w:t>
      </w:r>
      <w:r>
        <w:rPr>
          <w:rFonts w:ascii="宋体" w:hint="eastAsia"/>
          <w:sz w:val="24"/>
        </w:rPr>
        <w:t>供应商应在比选文件规定的响应文件递交截止时间之前将响应文件递交至采购人。响应文件递交截止时间和响应文件递交地点见供应商须知前附表。</w:t>
      </w:r>
    </w:p>
    <w:p>
      <w:pPr>
        <w:tabs>
          <w:tab w:val="left" w:pos="360"/>
          <w:tab w:val="left" w:pos="588"/>
        </w:tabs>
        <w:spacing w:line="360" w:lineRule="auto"/>
        <w:rPr>
          <w:rFonts w:ascii="宋体"/>
          <w:sz w:val="24"/>
        </w:rPr>
      </w:pPr>
      <w:r>
        <w:rPr>
          <w:rFonts w:ascii="宋体"/>
          <w:sz w:val="24"/>
        </w:rPr>
        <w:t>17.2</w:t>
      </w:r>
      <w:r>
        <w:rPr>
          <w:rFonts w:ascii="宋体" w:hint="eastAsia"/>
          <w:sz w:val="24"/>
        </w:rPr>
        <w:t>采购人可以按本须知第</w:t>
      </w:r>
      <w:r>
        <w:rPr>
          <w:rFonts w:ascii="宋体"/>
          <w:sz w:val="24"/>
        </w:rPr>
        <w:t>7</w:t>
      </w:r>
      <w:r>
        <w:rPr>
          <w:rFonts w:ascii="宋体" w:hint="eastAsia"/>
          <w:sz w:val="24"/>
        </w:rPr>
        <w:t>条规定，通知修改比选文件适当延长响应文件递交截止时间。在此情况下，采购人和供应商受响应文件递交截止时间制约的所有权利和义务均应延长至新的截止期。</w:t>
      </w:r>
    </w:p>
    <w:p>
      <w:pPr>
        <w:tabs>
          <w:tab w:val="left" w:pos="360"/>
        </w:tabs>
        <w:rPr>
          <w:rFonts w:ascii="宋体"/>
          <w:b/>
          <w:bCs/>
          <w:snapToGrid w:val="0"/>
          <w:sz w:val="24"/>
          <w:szCs w:val="21"/>
        </w:rPr>
      </w:pPr>
      <w:bookmarkStart w:id="48" w:name="_Toc12890636"/>
      <w:r>
        <w:rPr>
          <w:rFonts w:ascii="宋体"/>
          <w:b/>
          <w:bCs/>
          <w:snapToGrid w:val="0"/>
          <w:sz w:val="24"/>
          <w:szCs w:val="21"/>
        </w:rPr>
        <w:t xml:space="preserve">18. </w:t>
      </w:r>
      <w:r>
        <w:rPr>
          <w:rFonts w:ascii="宋体" w:hint="eastAsia"/>
          <w:b/>
          <w:bCs/>
          <w:snapToGrid w:val="0"/>
          <w:sz w:val="24"/>
          <w:szCs w:val="21"/>
        </w:rPr>
        <w:t>迟交的响应文件</w:t>
      </w:r>
      <w:bookmarkEnd w:id="48"/>
    </w:p>
    <w:p>
      <w:pPr>
        <w:tabs>
          <w:tab w:val="left" w:pos="588"/>
        </w:tabs>
        <w:spacing w:afterLines="50" w:after="120"/>
        <w:rPr>
          <w:rFonts w:ascii="宋体"/>
          <w:sz w:val="24"/>
        </w:rPr>
      </w:pPr>
      <w:r>
        <w:rPr>
          <w:rFonts w:ascii="宋体"/>
          <w:sz w:val="24"/>
        </w:rPr>
        <w:t>18.1</w:t>
      </w:r>
      <w:r>
        <w:rPr>
          <w:rFonts w:ascii="宋体" w:hint="eastAsia"/>
          <w:sz w:val="24"/>
        </w:rPr>
        <w:t>采购人将拒绝接收并原封退回在响应文件递交截止时间后收到的任何响应文件。</w:t>
      </w:r>
    </w:p>
    <w:p>
      <w:pPr>
        <w:tabs>
          <w:tab w:val="left" w:pos="360"/>
        </w:tabs>
        <w:rPr>
          <w:rFonts w:ascii="宋体"/>
          <w:b/>
          <w:bCs/>
          <w:snapToGrid w:val="0"/>
          <w:sz w:val="24"/>
          <w:szCs w:val="21"/>
        </w:rPr>
      </w:pPr>
      <w:bookmarkStart w:id="49" w:name="_Toc12890637"/>
      <w:r>
        <w:rPr>
          <w:rFonts w:ascii="宋体"/>
          <w:b/>
          <w:bCs/>
          <w:snapToGrid w:val="0"/>
          <w:sz w:val="24"/>
          <w:szCs w:val="21"/>
        </w:rPr>
        <w:t xml:space="preserve">19. </w:t>
      </w:r>
      <w:r>
        <w:rPr>
          <w:rFonts w:ascii="宋体" w:hint="eastAsia"/>
          <w:b/>
          <w:bCs/>
          <w:snapToGrid w:val="0"/>
          <w:sz w:val="24"/>
          <w:szCs w:val="21"/>
        </w:rPr>
        <w:t>响应文件的修改和撤销</w:t>
      </w:r>
      <w:bookmarkEnd w:id="49"/>
    </w:p>
    <w:p>
      <w:pPr>
        <w:tabs>
          <w:tab w:val="left" w:pos="360"/>
          <w:tab w:val="left" w:pos="588"/>
        </w:tabs>
        <w:spacing w:line="360" w:lineRule="auto"/>
        <w:rPr>
          <w:rFonts w:ascii="宋体"/>
          <w:sz w:val="24"/>
        </w:rPr>
      </w:pPr>
      <w:r>
        <w:rPr>
          <w:rFonts w:ascii="宋体"/>
          <w:sz w:val="24"/>
        </w:rPr>
        <w:t>19.1</w:t>
      </w:r>
      <w:r>
        <w:rPr>
          <w:rFonts w:ascii="宋体" w:hint="eastAsia"/>
          <w:sz w:val="24"/>
        </w:rPr>
        <w:t>供应商在提交响应文件后可对其响应文件进行修改或撤销，但该修改或撤销的书面通知须在响应文件递交截止时间之前送达响应文件递交地点，且该通知需经正式授权的供应商代表签字方为有效。</w:t>
      </w:r>
    </w:p>
    <w:p>
      <w:pPr>
        <w:tabs>
          <w:tab w:val="left" w:pos="360"/>
          <w:tab w:val="left" w:pos="588"/>
        </w:tabs>
        <w:spacing w:line="360" w:lineRule="auto"/>
        <w:rPr>
          <w:rFonts w:ascii="宋体"/>
          <w:sz w:val="24"/>
        </w:rPr>
      </w:pPr>
      <w:r>
        <w:rPr>
          <w:rFonts w:ascii="宋体"/>
          <w:sz w:val="24"/>
        </w:rPr>
        <w:t>19.2</w:t>
      </w:r>
      <w:r>
        <w:rPr>
          <w:rFonts w:ascii="宋体" w:hint="eastAsia"/>
          <w:sz w:val="24"/>
        </w:rPr>
        <w:t>供应商对响应文件修改的书面材料或撤销的通知应按第</w:t>
      </w:r>
      <w:r>
        <w:rPr>
          <w:rFonts w:ascii="宋体"/>
          <w:sz w:val="24"/>
        </w:rPr>
        <w:t>16</w:t>
      </w:r>
      <w:r>
        <w:rPr>
          <w:rFonts w:ascii="宋体" w:hint="eastAsia"/>
          <w:sz w:val="24"/>
        </w:rPr>
        <w:t>条规定进行编写、密封、标注和递送，并注明“修改响应文件”或“撤销响应文件”字样。</w:t>
      </w:r>
    </w:p>
    <w:p>
      <w:pPr>
        <w:tabs>
          <w:tab w:val="left" w:pos="360"/>
          <w:tab w:val="left" w:pos="588"/>
        </w:tabs>
        <w:spacing w:line="360" w:lineRule="auto"/>
        <w:rPr>
          <w:rFonts w:ascii="宋体"/>
          <w:sz w:val="24"/>
        </w:rPr>
      </w:pPr>
      <w:r>
        <w:rPr>
          <w:rFonts w:ascii="宋体"/>
          <w:sz w:val="24"/>
        </w:rPr>
        <w:t>19.3</w:t>
      </w:r>
      <w:r>
        <w:rPr>
          <w:rFonts w:ascii="宋体" w:hint="eastAsia"/>
          <w:sz w:val="24"/>
        </w:rPr>
        <w:t>在响应文件递交截止时间之后，供应商不得对其响应文件做任何修改。</w:t>
      </w:r>
    </w:p>
    <w:p>
      <w:pPr>
        <w:tabs>
          <w:tab w:val="left" w:pos="360"/>
          <w:tab w:val="left" w:pos="588"/>
        </w:tabs>
        <w:spacing w:line="360" w:lineRule="auto"/>
        <w:rPr>
          <w:rFonts w:ascii="宋体"/>
          <w:sz w:val="24"/>
        </w:rPr>
      </w:pPr>
      <w:r>
        <w:rPr>
          <w:rFonts w:ascii="宋体"/>
          <w:sz w:val="24"/>
        </w:rPr>
        <w:t>19.4</w:t>
      </w:r>
      <w:r>
        <w:rPr>
          <w:rFonts w:ascii="宋体" w:hint="eastAsia"/>
          <w:sz w:val="24"/>
        </w:rPr>
        <w:t>供应商不得在响应文件递交截止时间起至响应文件有效期期满前撤销其响应文件。</w:t>
      </w:r>
    </w:p>
    <w:p>
      <w:pPr>
        <w:spacing w:before="100" w:beforeAutospacing="1" w:after="100" w:afterAutospacing="1"/>
        <w:jc w:val="center"/>
        <w:rPr>
          <w:rFonts w:ascii="宋体"/>
          <w:b/>
          <w:bCs/>
          <w:sz w:val="24"/>
        </w:rPr>
      </w:pPr>
      <w:bookmarkStart w:id="50" w:name="_Hlt491765712"/>
      <w:bookmarkStart w:id="51" w:name="_Hlt497729441"/>
      <w:bookmarkStart w:id="52" w:name="_Hlt491765640"/>
      <w:bookmarkStart w:id="53" w:name="_Toc232395217"/>
      <w:bookmarkStart w:id="54" w:name="_Toc214357452"/>
      <w:bookmarkStart w:id="55" w:name="_Toc232176277"/>
      <w:bookmarkStart w:id="56" w:name="_Toc249515415"/>
      <w:bookmarkStart w:id="57" w:name="_Toc249515303"/>
      <w:bookmarkStart w:id="58" w:name="_Toc256342148"/>
      <w:bookmarkStart w:id="59" w:name="_Toc249525184"/>
      <w:bookmarkStart w:id="60" w:name="_Toc176882547"/>
      <w:bookmarkStart w:id="61" w:name="_Toc500746971"/>
      <w:bookmarkStart w:id="62" w:name="_Toc53722845"/>
      <w:bookmarkStart w:id="63" w:name="_Toc389620191"/>
      <w:bookmarkStart w:id="64" w:name="_Toc499711048"/>
      <w:bookmarkStart w:id="65" w:name="_Toc184043039"/>
      <w:bookmarkStart w:id="66" w:name="_Toc177995478"/>
      <w:bookmarkStart w:id="67" w:name="_Toc177817339"/>
      <w:bookmarkStart w:id="68" w:name="_Toc70687166"/>
      <w:bookmarkStart w:id="69" w:name="_Toc499711889"/>
      <w:bookmarkStart w:id="70" w:name="_Toc177189240"/>
      <w:bookmarkStart w:id="71" w:name="_Toc496324584"/>
      <w:bookmarkStart w:id="72" w:name="_Toc385992352"/>
      <w:bookmarkStart w:id="73" w:name="_Toc500747067"/>
      <w:bookmarkStart w:id="74" w:name="_Toc500747194"/>
      <w:bookmarkStart w:id="75" w:name="_Toc492955420"/>
      <w:bookmarkStart w:id="76" w:name="_Toc503063427"/>
      <w:bookmarkEnd w:id="50"/>
      <w:bookmarkEnd w:id="51"/>
      <w:bookmarkEnd w:id="52"/>
      <w:r>
        <w:rPr>
          <w:rFonts w:ascii="宋体" w:cs="宋体" w:hint="eastAsia"/>
          <w:b/>
          <w:bCs/>
          <w:sz w:val="24"/>
        </w:rPr>
        <w:t>五、</w:t>
      </w:r>
      <w:bookmarkEnd w:id="53"/>
      <w:bookmarkEnd w:id="54"/>
      <w:bookmarkEnd w:id="55"/>
      <w:r>
        <w:rPr>
          <w:rFonts w:ascii="宋体" w:cs="宋体" w:hint="eastAsia"/>
          <w:b/>
          <w:bCs/>
          <w:sz w:val="24"/>
        </w:rPr>
        <w:t>评审与比选</w:t>
      </w:r>
      <w:bookmarkEnd w:id="56"/>
      <w:bookmarkEnd w:id="57"/>
      <w:bookmarkEnd w:id="58"/>
      <w:bookmarkEnd w:id="59"/>
    </w:p>
    <w:p>
      <w:pPr>
        <w:rPr>
          <w:rFonts w:ascii="宋体"/>
          <w:b/>
          <w:sz w:val="24"/>
        </w:rPr>
      </w:pPr>
      <w:bookmarkStart w:id="77" w:name="_Toc83547671"/>
      <w:r>
        <w:rPr>
          <w:rFonts w:ascii="宋体"/>
          <w:b/>
          <w:sz w:val="24"/>
        </w:rPr>
        <w:t>20.</w:t>
      </w:r>
      <w:r>
        <w:rPr>
          <w:rFonts w:ascii="宋体" w:hint="eastAsia"/>
          <w:b/>
          <w:sz w:val="24"/>
        </w:rPr>
        <w:t>响应文件递交</w:t>
      </w:r>
    </w:p>
    <w:p>
      <w:pPr>
        <w:tabs>
          <w:tab w:val="left" w:pos="360"/>
          <w:tab w:val="left" w:pos="588"/>
        </w:tabs>
        <w:spacing w:line="360" w:lineRule="auto"/>
        <w:rPr>
          <w:rFonts w:ascii="宋体"/>
          <w:sz w:val="24"/>
        </w:rPr>
      </w:pPr>
      <w:r>
        <w:rPr>
          <w:rFonts w:ascii="宋体"/>
          <w:sz w:val="24"/>
        </w:rPr>
        <w:t>20.1</w:t>
      </w:r>
      <w:r>
        <w:rPr>
          <w:rFonts w:ascii="宋体" w:hint="eastAsia"/>
          <w:sz w:val="24"/>
        </w:rPr>
        <w:t>比选时间和地点见供应商须知前附表。</w:t>
      </w:r>
    </w:p>
    <w:p>
      <w:pPr>
        <w:tabs>
          <w:tab w:val="left" w:pos="360"/>
          <w:tab w:val="left" w:pos="588"/>
        </w:tabs>
        <w:spacing w:line="360" w:lineRule="auto"/>
        <w:rPr>
          <w:rFonts w:ascii="宋体"/>
          <w:sz w:val="24"/>
        </w:rPr>
      </w:pPr>
      <w:r>
        <w:rPr>
          <w:rFonts w:ascii="宋体"/>
          <w:sz w:val="24"/>
        </w:rPr>
        <w:t>20.2</w:t>
      </w:r>
      <w:r>
        <w:rPr>
          <w:rFonts w:ascii="宋体" w:hint="eastAsia"/>
          <w:sz w:val="24"/>
        </w:rPr>
        <w:t>递交响应文件的供应商不足三家，不进行比选（政府采购管理部门批准的除外），供应商当场取回响应文件，如未取回，将视为供应商主动放弃，采购人无保管义务。</w:t>
      </w:r>
    </w:p>
    <w:p>
      <w:pPr>
        <w:tabs>
          <w:tab w:val="left" w:pos="0"/>
        </w:tabs>
        <w:ind w:left="480" w:hanging="480"/>
        <w:rPr>
          <w:rFonts w:ascii="宋体"/>
          <w:b/>
          <w:bCs/>
          <w:sz w:val="24"/>
          <w:szCs w:val="21"/>
        </w:rPr>
      </w:pPr>
      <w:r>
        <w:rPr>
          <w:rFonts w:ascii="宋体"/>
          <w:b/>
          <w:bCs/>
          <w:sz w:val="24"/>
        </w:rPr>
        <w:t xml:space="preserve">21. </w:t>
      </w:r>
      <w:r>
        <w:rPr>
          <w:rFonts w:ascii="宋体" w:hint="eastAsia"/>
          <w:b/>
          <w:bCs/>
          <w:sz w:val="24"/>
          <w:szCs w:val="21"/>
        </w:rPr>
        <w:t>评审小组</w:t>
      </w:r>
    </w:p>
    <w:p>
      <w:pPr>
        <w:tabs>
          <w:tab w:val="left" w:pos="360"/>
          <w:tab w:val="left" w:pos="588"/>
        </w:tabs>
        <w:spacing w:line="360" w:lineRule="auto"/>
        <w:rPr>
          <w:rFonts w:ascii="宋体"/>
          <w:sz w:val="24"/>
        </w:rPr>
      </w:pPr>
      <w:r>
        <w:rPr>
          <w:rFonts w:ascii="宋体"/>
          <w:sz w:val="24"/>
        </w:rPr>
        <w:t>21.1</w:t>
      </w:r>
      <w:r>
        <w:rPr>
          <w:rFonts w:ascii="宋体" w:hint="eastAsia"/>
          <w:sz w:val="24"/>
        </w:rPr>
        <w:t>采购人组成评审小组，负责具体比选评审事务。</w:t>
      </w:r>
    </w:p>
    <w:p>
      <w:pPr>
        <w:tabs>
          <w:tab w:val="left" w:pos="360"/>
          <w:tab w:val="left" w:pos="588"/>
        </w:tabs>
        <w:spacing w:line="360" w:lineRule="auto"/>
        <w:rPr>
          <w:rFonts w:ascii="宋体"/>
          <w:sz w:val="24"/>
        </w:rPr>
      </w:pPr>
      <w:r>
        <w:rPr>
          <w:rFonts w:ascii="宋体"/>
          <w:sz w:val="24"/>
        </w:rPr>
        <w:t>21.2</w:t>
      </w:r>
      <w:r>
        <w:rPr>
          <w:rFonts w:ascii="宋体" w:hint="eastAsia"/>
          <w:sz w:val="24"/>
        </w:rPr>
        <w:t>评审小组以比选文件为依据，对供应商的响应文件进行审查、澄清、评估和比较，并做出评审意见，不寻求比选文件及符合规定的澄清文件以外的其他证据。</w:t>
      </w:r>
    </w:p>
    <w:p>
      <w:pPr>
        <w:rPr>
          <w:rFonts w:ascii="宋体"/>
          <w:b/>
          <w:sz w:val="24"/>
        </w:rPr>
      </w:pPr>
      <w:r>
        <w:rPr>
          <w:rFonts w:ascii="宋体"/>
          <w:b/>
          <w:bCs/>
          <w:sz w:val="24"/>
        </w:rPr>
        <w:t xml:space="preserve">22. </w:t>
      </w:r>
      <w:r>
        <w:rPr>
          <w:rFonts w:ascii="宋体" w:hint="eastAsia"/>
          <w:b/>
          <w:sz w:val="24"/>
        </w:rPr>
        <w:t>供应商、响应文件的符合性审查与澄清</w:t>
      </w:r>
    </w:p>
    <w:p>
      <w:pPr>
        <w:tabs>
          <w:tab w:val="left" w:pos="360"/>
          <w:tab w:val="left" w:pos="588"/>
        </w:tabs>
        <w:spacing w:line="360" w:lineRule="auto"/>
        <w:rPr>
          <w:rFonts w:ascii="宋体"/>
          <w:sz w:val="24"/>
        </w:rPr>
      </w:pPr>
      <w:r>
        <w:rPr>
          <w:rFonts w:ascii="宋体"/>
          <w:sz w:val="24"/>
        </w:rPr>
        <w:t>22.1</w:t>
      </w:r>
      <w:r>
        <w:rPr>
          <w:rFonts w:ascii="宋体" w:hint="eastAsia"/>
          <w:sz w:val="24"/>
        </w:rPr>
        <w:t>评审小组通过“</w:t>
      </w:r>
      <w:r>
        <w:rPr>
          <w:rFonts w:ascii="宋体" w:hint="eastAsia"/>
          <w:b/>
          <w:bCs/>
          <w:sz w:val="24"/>
        </w:rPr>
        <w:t>信用中国</w:t>
      </w:r>
      <w:r>
        <w:rPr>
          <w:rFonts w:ascii="宋体" w:hint="eastAsia"/>
          <w:sz w:val="24"/>
        </w:rPr>
        <w:t>”网站查询供应商信用情况，比选当日查询到被列入失信被执行人、重大税收违法案件当事人名单、政府采购严重违法失信行为记录名单且在有效期内的供应商均被认定为不合格供应商。</w:t>
      </w:r>
    </w:p>
    <w:p>
      <w:pPr>
        <w:tabs>
          <w:tab w:val="left" w:pos="360"/>
          <w:tab w:val="left" w:pos="588"/>
        </w:tabs>
        <w:spacing w:line="360" w:lineRule="auto"/>
        <w:rPr>
          <w:rFonts w:ascii="宋体"/>
          <w:sz w:val="24"/>
        </w:rPr>
      </w:pPr>
      <w:r>
        <w:rPr>
          <w:rFonts w:ascii="宋体"/>
          <w:sz w:val="24"/>
        </w:rPr>
        <w:t>22.2</w:t>
      </w:r>
      <w:r>
        <w:rPr>
          <w:rFonts w:ascii="宋体" w:hint="eastAsia"/>
          <w:sz w:val="24"/>
        </w:rPr>
        <w:t>响应文件符合性检查，评审小组依据比选文件，对响应文件的有效性、完整性以及对比选文件中所有标明“★”号条款的响应程度进行逐项审查，以确定供应商是否对比选文件的实质性要求做出响应。</w:t>
      </w:r>
    </w:p>
    <w:p>
      <w:pPr>
        <w:tabs>
          <w:tab w:val="left" w:pos="360"/>
          <w:tab w:val="left" w:pos="588"/>
        </w:tabs>
        <w:spacing w:line="360" w:lineRule="auto"/>
        <w:rPr>
          <w:rFonts w:ascii="宋体"/>
          <w:sz w:val="24"/>
        </w:rPr>
      </w:pPr>
      <w:r>
        <w:rPr>
          <w:rFonts w:ascii="宋体"/>
          <w:sz w:val="24"/>
        </w:rPr>
        <w:t xml:space="preserve">22.3 </w:t>
      </w:r>
      <w:r>
        <w:rPr>
          <w:rFonts w:ascii="宋体" w:hint="eastAsia"/>
          <w:sz w:val="24"/>
        </w:rPr>
        <w:t>响应文件的澄清，在比选期间，评审小组有权以书面方式要求供应商对其响应文件中含义不明确、对同类问题表述不一致或者有明显文字和计算错误的内容作必要的澄清。供应商澄清应在评审小组规定的时间内以书面方式进行，并不得超出比选文件范围或者改变响应文件的实质性内容，澄清文件将作为响应文件内容的一部分。</w:t>
      </w:r>
    </w:p>
    <w:p>
      <w:pPr>
        <w:tabs>
          <w:tab w:val="left" w:pos="360"/>
          <w:tab w:val="left" w:pos="588"/>
        </w:tabs>
        <w:spacing w:line="360" w:lineRule="auto"/>
        <w:rPr>
          <w:rFonts w:ascii="宋体"/>
          <w:sz w:val="24"/>
        </w:rPr>
      </w:pPr>
      <w:r>
        <w:rPr>
          <w:rFonts w:ascii="宋体"/>
          <w:sz w:val="24"/>
        </w:rPr>
        <w:t>22.4</w:t>
      </w:r>
      <w:r>
        <w:rPr>
          <w:rFonts w:ascii="宋体" w:hint="eastAsia"/>
          <w:sz w:val="24"/>
        </w:rPr>
        <w:t>供应商出现供应商须知前附表第</w:t>
      </w:r>
      <w:r>
        <w:rPr>
          <w:rFonts w:ascii="宋体"/>
          <w:sz w:val="24"/>
        </w:rPr>
        <w:t>17</w:t>
      </w:r>
      <w:r>
        <w:rPr>
          <w:rFonts w:ascii="宋体" w:hint="eastAsia"/>
          <w:sz w:val="24"/>
        </w:rPr>
        <w:t>条规定情形之一时，有可能影响产品质量或者不能诚信履约，评审小组可以要求供应商在比选现场合理的时间内提供书面说明，并提交相关证明材料；供应商不能证明其报价合理性的，评审小组应当将其作为无效报价处理。</w:t>
      </w:r>
    </w:p>
    <w:p>
      <w:pPr>
        <w:rPr>
          <w:rFonts w:ascii="宋体"/>
          <w:b/>
          <w:sz w:val="24"/>
        </w:rPr>
      </w:pPr>
      <w:bookmarkStart w:id="78" w:name="_Toc56534788"/>
      <w:r>
        <w:rPr>
          <w:rFonts w:ascii="宋体"/>
          <w:b/>
          <w:sz w:val="24"/>
        </w:rPr>
        <w:t>23</w:t>
      </w:r>
      <w:r>
        <w:rPr>
          <w:rFonts w:ascii="宋体" w:hint="eastAsia"/>
          <w:b/>
          <w:sz w:val="24"/>
        </w:rPr>
        <w:t>．</w:t>
      </w:r>
      <w:bookmarkStart w:id="79" w:name="_Toc56534789"/>
      <w:bookmarkEnd w:id="78"/>
      <w:r>
        <w:rPr>
          <w:rFonts w:ascii="宋体" w:hint="eastAsia"/>
          <w:b/>
          <w:sz w:val="24"/>
        </w:rPr>
        <w:t>响应偏离与非实质性响应</w:t>
      </w:r>
      <w:bookmarkEnd w:id="79"/>
    </w:p>
    <w:p>
      <w:pPr>
        <w:tabs>
          <w:tab w:val="left" w:pos="360"/>
          <w:tab w:val="left" w:pos="588"/>
        </w:tabs>
        <w:spacing w:line="360" w:lineRule="auto"/>
        <w:rPr>
          <w:rFonts w:ascii="宋体"/>
          <w:sz w:val="24"/>
        </w:rPr>
      </w:pPr>
      <w:r>
        <w:rPr>
          <w:rFonts w:ascii="宋体"/>
          <w:sz w:val="24"/>
        </w:rPr>
        <w:t>23.1</w:t>
      </w:r>
      <w:r>
        <w:rPr>
          <w:rFonts w:ascii="宋体" w:hint="eastAsia"/>
          <w:sz w:val="24"/>
        </w:rPr>
        <w:t>对于响应文件中不构成实质性偏离的不正规、不一致或不规则，评审小组可以接受。</w:t>
      </w:r>
    </w:p>
    <w:p>
      <w:pPr>
        <w:tabs>
          <w:tab w:val="left" w:pos="360"/>
          <w:tab w:val="left" w:pos="588"/>
        </w:tabs>
        <w:spacing w:line="360" w:lineRule="auto"/>
        <w:rPr>
          <w:rFonts w:ascii="宋体"/>
          <w:sz w:val="24"/>
        </w:rPr>
      </w:pPr>
      <w:r>
        <w:rPr>
          <w:rFonts w:ascii="宋体"/>
          <w:sz w:val="24"/>
        </w:rPr>
        <w:t>23.2</w:t>
      </w:r>
      <w:r>
        <w:rPr>
          <w:rFonts w:ascii="宋体" w:hint="eastAsia"/>
          <w:sz w:val="24"/>
        </w:rPr>
        <w:t>在比较与评价之前，根据本须知的规定，评审小组要审查每份响应文件是否实质上响应了比选文件的要求。实质上响应的报价应该是与比选文件要求的全部条款、条件和规格相符，没有重大偏离的报价。对关键条款，例如适用法律、缴税等内容的偏离、保留和反对，将被认为是实质上的偏离。</w:t>
      </w:r>
    </w:p>
    <w:p>
      <w:pPr>
        <w:tabs>
          <w:tab w:val="left" w:pos="360"/>
          <w:tab w:val="left" w:pos="588"/>
        </w:tabs>
        <w:spacing w:line="360" w:lineRule="auto"/>
        <w:rPr>
          <w:rFonts w:ascii="宋体"/>
          <w:sz w:val="24"/>
        </w:rPr>
      </w:pPr>
      <w:r>
        <w:rPr>
          <w:rFonts w:ascii="宋体"/>
          <w:sz w:val="24"/>
        </w:rPr>
        <w:t>23.3</w:t>
      </w:r>
      <w:r>
        <w:rPr>
          <w:rFonts w:ascii="宋体" w:hint="eastAsia"/>
          <w:sz w:val="24"/>
        </w:rPr>
        <w:t>响应文件存在下列情形之一的，其响应无效，供应商不得通过补充、澄清、修正或撤销等形式使其响应成为有效响应：</w:t>
      </w:r>
    </w:p>
    <w:p>
      <w:pPr>
        <w:tabs>
          <w:tab w:val="left" w:pos="588"/>
        </w:tabs>
        <w:spacing w:afterLines="50" w:after="120"/>
        <w:rPr>
          <w:rFonts w:ascii="宋体"/>
          <w:kern w:val="0"/>
          <w:sz w:val="24"/>
        </w:rPr>
      </w:pPr>
      <w:r>
        <w:rPr>
          <w:rFonts w:ascii="宋体" w:hint="eastAsia"/>
          <w:kern w:val="0"/>
          <w:sz w:val="24"/>
        </w:rPr>
        <w:t>（</w:t>
      </w:r>
      <w:r>
        <w:rPr>
          <w:rFonts w:ascii="宋体"/>
          <w:kern w:val="0"/>
          <w:sz w:val="24"/>
        </w:rPr>
        <w:t>1</w:t>
      </w:r>
      <w:r>
        <w:rPr>
          <w:rFonts w:ascii="宋体" w:hint="eastAsia"/>
          <w:kern w:val="0"/>
          <w:sz w:val="24"/>
        </w:rPr>
        <w:t>）未按照比选文件规定进行签署、盖章及封装的；</w:t>
      </w:r>
    </w:p>
    <w:p>
      <w:pPr>
        <w:tabs>
          <w:tab w:val="left" w:pos="588"/>
        </w:tabs>
        <w:spacing w:afterLines="50" w:after="120"/>
        <w:rPr>
          <w:rFonts w:ascii="宋体"/>
          <w:kern w:val="0"/>
          <w:sz w:val="24"/>
        </w:rPr>
      </w:pPr>
      <w:r>
        <w:rPr>
          <w:rFonts w:ascii="宋体" w:hint="eastAsia"/>
          <w:kern w:val="0"/>
          <w:sz w:val="24"/>
        </w:rPr>
        <w:t>（</w:t>
      </w:r>
      <w:r>
        <w:rPr>
          <w:rFonts w:ascii="宋体"/>
          <w:kern w:val="0"/>
          <w:sz w:val="24"/>
        </w:rPr>
        <w:t>2</w:t>
      </w:r>
      <w:r>
        <w:rPr>
          <w:rFonts w:ascii="宋体" w:hint="eastAsia"/>
          <w:kern w:val="0"/>
          <w:sz w:val="24"/>
        </w:rPr>
        <w:t>）供应商未通过资格条件审查或符合性审查的；</w:t>
      </w:r>
    </w:p>
    <w:p>
      <w:pPr>
        <w:tabs>
          <w:tab w:val="left" w:pos="588"/>
        </w:tabs>
        <w:spacing w:afterLines="50" w:after="120"/>
        <w:rPr>
          <w:rFonts w:ascii="宋体"/>
          <w:kern w:val="0"/>
          <w:sz w:val="24"/>
        </w:rPr>
      </w:pPr>
      <w:r>
        <w:rPr>
          <w:rFonts w:ascii="宋体" w:hint="eastAsia"/>
          <w:kern w:val="0"/>
          <w:sz w:val="24"/>
        </w:rPr>
        <w:t>（</w:t>
      </w:r>
      <w:r>
        <w:rPr>
          <w:rFonts w:ascii="宋体"/>
          <w:kern w:val="0"/>
          <w:sz w:val="24"/>
        </w:rPr>
        <w:t>3</w:t>
      </w:r>
      <w:r>
        <w:rPr>
          <w:rFonts w:ascii="宋体" w:hint="eastAsia"/>
          <w:kern w:val="0"/>
          <w:sz w:val="24"/>
        </w:rPr>
        <w:t>）响应文件含有采购人不能接受的附加条件的；</w:t>
      </w:r>
    </w:p>
    <w:p>
      <w:pPr>
        <w:tabs>
          <w:tab w:val="left" w:pos="588"/>
        </w:tabs>
        <w:spacing w:afterLines="50" w:after="120"/>
        <w:rPr>
          <w:rFonts w:ascii="宋体"/>
          <w:kern w:val="0"/>
          <w:sz w:val="24"/>
        </w:rPr>
      </w:pPr>
      <w:r>
        <w:rPr>
          <w:rFonts w:ascii="宋体" w:hint="eastAsia"/>
          <w:kern w:val="0"/>
          <w:sz w:val="24"/>
        </w:rPr>
        <w:t>（</w:t>
      </w:r>
      <w:r>
        <w:rPr>
          <w:rFonts w:ascii="宋体"/>
          <w:kern w:val="0"/>
          <w:sz w:val="24"/>
        </w:rPr>
        <w:t>4</w:t>
      </w:r>
      <w:r>
        <w:rPr>
          <w:rFonts w:ascii="宋体" w:hint="eastAsia"/>
          <w:kern w:val="0"/>
          <w:sz w:val="24"/>
        </w:rPr>
        <w:t>）不满足比选文件其他“★”号条款的；</w:t>
      </w:r>
    </w:p>
    <w:p>
      <w:pPr>
        <w:tabs>
          <w:tab w:val="left" w:pos="588"/>
        </w:tabs>
        <w:spacing w:afterLines="50" w:after="120"/>
        <w:rPr>
          <w:rFonts w:ascii="宋体"/>
          <w:kern w:val="0"/>
          <w:sz w:val="24"/>
        </w:rPr>
      </w:pPr>
      <w:r>
        <w:rPr>
          <w:rFonts w:ascii="宋体" w:hint="eastAsia"/>
          <w:kern w:val="0"/>
          <w:sz w:val="24"/>
        </w:rPr>
        <w:t>（</w:t>
      </w:r>
      <w:r>
        <w:rPr>
          <w:rFonts w:ascii="宋体"/>
          <w:kern w:val="0"/>
          <w:sz w:val="24"/>
        </w:rPr>
        <w:t>5</w:t>
      </w:r>
      <w:r>
        <w:rPr>
          <w:rFonts w:ascii="宋体" w:hint="eastAsia"/>
          <w:kern w:val="0"/>
          <w:sz w:val="24"/>
        </w:rPr>
        <w:t>）法律、法规规定的其他无效比选情形；</w:t>
      </w:r>
    </w:p>
    <w:p>
      <w:pPr>
        <w:tabs>
          <w:tab w:val="left" w:pos="588"/>
        </w:tabs>
        <w:spacing w:afterLines="50" w:after="120"/>
        <w:rPr>
          <w:rFonts w:ascii="宋体"/>
          <w:kern w:val="0"/>
          <w:sz w:val="24"/>
        </w:rPr>
      </w:pPr>
      <w:r>
        <w:rPr>
          <w:rFonts w:ascii="宋体" w:hint="eastAsia"/>
          <w:kern w:val="0"/>
          <w:sz w:val="24"/>
        </w:rPr>
        <w:t>（</w:t>
      </w:r>
      <w:r>
        <w:rPr>
          <w:rFonts w:ascii="宋体"/>
          <w:kern w:val="0"/>
          <w:sz w:val="24"/>
        </w:rPr>
        <w:t>6</w:t>
      </w:r>
      <w:r>
        <w:rPr>
          <w:rFonts w:ascii="宋体" w:hint="eastAsia"/>
          <w:kern w:val="0"/>
          <w:sz w:val="24"/>
        </w:rPr>
        <w:t>）响应与事实不符或提供虚假或失实资料的。</w:t>
      </w:r>
    </w:p>
    <w:p>
      <w:pPr>
        <w:spacing w:afterLines="50" w:after="120"/>
        <w:rPr>
          <w:rFonts w:ascii="宋体"/>
          <w:b/>
          <w:bCs/>
          <w:sz w:val="24"/>
          <w:szCs w:val="21"/>
        </w:rPr>
      </w:pPr>
      <w:bookmarkStart w:id="80" w:name="_Toc12890638"/>
      <w:bookmarkStart w:id="81" w:name="_Toc249515422"/>
      <w:bookmarkStart w:id="82" w:name="_Toc249515310"/>
      <w:bookmarkStart w:id="83" w:name="_Toc249525191"/>
      <w:r>
        <w:rPr>
          <w:rFonts w:ascii="宋体"/>
          <w:b/>
          <w:bCs/>
          <w:sz w:val="24"/>
          <w:szCs w:val="21"/>
        </w:rPr>
        <w:t>24.</w:t>
      </w:r>
      <w:r>
        <w:rPr>
          <w:rFonts w:ascii="宋体" w:hint="eastAsia"/>
          <w:b/>
          <w:bCs/>
          <w:sz w:val="24"/>
          <w:szCs w:val="21"/>
        </w:rPr>
        <w:t>评审</w:t>
      </w:r>
      <w:bookmarkEnd w:id="80"/>
    </w:p>
    <w:p>
      <w:pPr>
        <w:tabs>
          <w:tab w:val="left" w:pos="588"/>
        </w:tabs>
        <w:spacing w:afterLines="50" w:after="120"/>
        <w:rPr>
          <w:rFonts w:ascii="宋体"/>
          <w:bCs/>
          <w:kern w:val="0"/>
          <w:sz w:val="24"/>
        </w:rPr>
      </w:pPr>
      <w:bookmarkEnd w:id="81"/>
      <w:bookmarkEnd w:id="82"/>
      <w:bookmarkEnd w:id="83"/>
      <w:r>
        <w:rPr>
          <w:rFonts w:ascii="宋体"/>
          <w:kern w:val="0"/>
          <w:sz w:val="24"/>
        </w:rPr>
        <w:t>24.1</w:t>
      </w:r>
      <w:r>
        <w:rPr>
          <w:rFonts w:ascii="宋体" w:hint="eastAsia"/>
          <w:kern w:val="0"/>
          <w:sz w:val="24"/>
        </w:rPr>
        <w:t>评审小组所有成员集中对供应商提交响应文件进行审核</w:t>
      </w:r>
      <w:bookmarkEnd w:id="77"/>
      <w:r>
        <w:rPr>
          <w:rFonts w:ascii="宋体" w:hint="eastAsia"/>
          <w:kern w:val="0"/>
          <w:sz w:val="24"/>
        </w:rPr>
        <w:t>。</w:t>
      </w:r>
    </w:p>
    <w:p>
      <w:pPr>
        <w:tabs>
          <w:tab w:val="left" w:pos="588"/>
        </w:tabs>
        <w:spacing w:afterLines="50" w:after="120" w:line="560" w:lineRule="exact"/>
        <w:rPr>
          <w:rFonts w:ascii="宋体"/>
          <w:bCs/>
          <w:kern w:val="0"/>
          <w:sz w:val="24"/>
        </w:rPr>
      </w:pPr>
      <w:bookmarkStart w:id="84" w:name="_Hlk508665402"/>
      <w:r>
        <w:rPr>
          <w:rFonts w:ascii="宋体"/>
          <w:sz w:val="24"/>
        </w:rPr>
        <w:t>24.</w:t>
      </w:r>
      <w:bookmarkEnd w:id="84"/>
      <w:r>
        <w:rPr>
          <w:rFonts w:ascii="宋体"/>
          <w:sz w:val="24"/>
        </w:rPr>
        <w:t>2</w:t>
      </w:r>
      <w:r>
        <w:rPr>
          <w:rFonts w:ascii="宋体" w:hint="eastAsia"/>
          <w:bCs/>
          <w:kern w:val="0"/>
          <w:sz w:val="24"/>
        </w:rPr>
        <w:t>参加比选的中小企业应当提供有效的《中小企业声明函》，参加比选的监狱企业应当提供由省级以上监狱管理局、戒毒管理局（含新疆生产建设兵团）出具的属于监狱企业的证明文，参加比选的残疾人福利性单位应当提供《残疾人福利性单位声明函》，否则评标时不得被认定。本项目将对小微型企业、监狱企业及残疾人福利性单位制造的产品在评审时给予报价</w:t>
      </w:r>
      <w:r>
        <w:rPr>
          <w:rFonts w:ascii="宋体" w:hint="eastAsia"/>
          <w:b/>
          <w:kern w:val="0"/>
          <w:sz w:val="24"/>
        </w:rPr>
        <w:t>15</w:t>
      </w:r>
      <w:r>
        <w:rPr>
          <w:rFonts w:ascii="宋体"/>
          <w:b/>
          <w:kern w:val="0"/>
          <w:sz w:val="24"/>
        </w:rPr>
        <w:t>%</w:t>
      </w:r>
      <w:r>
        <w:rPr>
          <w:rFonts w:ascii="宋体" w:hint="eastAsia"/>
          <w:bCs/>
          <w:kern w:val="0"/>
          <w:sz w:val="24"/>
        </w:rPr>
        <w:t>的扣除，用扣除后的价格参与评审，即参加评审的价格</w:t>
      </w:r>
      <w:r>
        <w:rPr>
          <w:rFonts w:ascii="宋体"/>
          <w:bCs/>
          <w:kern w:val="0"/>
          <w:sz w:val="24"/>
        </w:rPr>
        <w:t>=</w:t>
      </w:r>
      <w:r>
        <w:rPr>
          <w:rFonts w:ascii="宋体" w:hint="eastAsia"/>
          <w:bCs/>
          <w:kern w:val="0"/>
          <w:sz w:val="24"/>
        </w:rPr>
        <w:t>响应报价×</w:t>
      </w:r>
      <w:r>
        <w:rPr>
          <w:rFonts w:ascii="宋体"/>
          <w:bCs/>
          <w:kern w:val="0"/>
          <w:sz w:val="24"/>
        </w:rPr>
        <w:t>(1-</w:t>
      </w:r>
      <w:r>
        <w:rPr>
          <w:rFonts w:ascii="宋体" w:hint="eastAsia"/>
          <w:b/>
          <w:kern w:val="0"/>
          <w:sz w:val="24"/>
        </w:rPr>
        <w:t>15</w:t>
      </w:r>
      <w:r>
        <w:rPr>
          <w:rFonts w:ascii="宋体"/>
          <w:b/>
          <w:kern w:val="0"/>
          <w:sz w:val="24"/>
        </w:rPr>
        <w:t>%</w:t>
      </w:r>
      <w:r>
        <w:rPr>
          <w:rFonts w:ascii="宋体"/>
          <w:bCs/>
          <w:kern w:val="0"/>
          <w:sz w:val="24"/>
        </w:rPr>
        <w:t>)</w:t>
      </w:r>
      <w:r>
        <w:rPr>
          <w:rFonts w:ascii="宋体" w:hint="eastAsia"/>
          <w:bCs/>
          <w:kern w:val="0"/>
          <w:sz w:val="24"/>
        </w:rPr>
        <w:t>。未提供相关声明函或证明文件的评审时其响应报价不予扣除，同时具备上述两种及以上类型的企业单位，不重复享受政策优惠。</w:t>
      </w:r>
    </w:p>
    <w:p>
      <w:pPr>
        <w:rPr>
          <w:rFonts w:ascii="宋体"/>
          <w:b/>
          <w:bCs/>
          <w:sz w:val="24"/>
          <w:szCs w:val="21"/>
        </w:rPr>
      </w:pP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r>
        <w:rPr>
          <w:rFonts w:ascii="宋体"/>
          <w:b/>
          <w:sz w:val="24"/>
        </w:rPr>
        <w:t>25.</w:t>
      </w:r>
      <w:r>
        <w:rPr>
          <w:rFonts w:ascii="宋体" w:hint="eastAsia"/>
          <w:b/>
          <w:sz w:val="24"/>
        </w:rPr>
        <w:t>成交候选人的推荐原则</w:t>
      </w:r>
    </w:p>
    <w:p>
      <w:pPr>
        <w:tabs>
          <w:tab w:val="left" w:pos="360"/>
          <w:tab w:val="left" w:pos="588"/>
        </w:tabs>
        <w:spacing w:line="360" w:lineRule="auto"/>
        <w:rPr>
          <w:rFonts w:ascii="宋体"/>
          <w:sz w:val="24"/>
        </w:rPr>
      </w:pPr>
      <w:r>
        <w:rPr>
          <w:rFonts w:ascii="宋体"/>
          <w:sz w:val="24"/>
        </w:rPr>
        <w:t>25.1</w:t>
      </w:r>
      <w:r>
        <w:rPr>
          <w:rFonts w:ascii="宋体" w:hint="eastAsia"/>
          <w:sz w:val="24"/>
        </w:rPr>
        <w:t>评审小组将根据评审结果，对实质上响应比选文件的供应商按照综合评分由高至低的顺序进行评标排序。</w:t>
      </w:r>
    </w:p>
    <w:p>
      <w:pPr>
        <w:tabs>
          <w:tab w:val="left" w:pos="360"/>
          <w:tab w:val="left" w:pos="588"/>
        </w:tabs>
        <w:spacing w:line="360" w:lineRule="auto"/>
        <w:rPr>
          <w:rFonts w:ascii="宋体"/>
          <w:sz w:val="24"/>
        </w:rPr>
      </w:pPr>
      <w:r>
        <w:rPr>
          <w:rFonts w:ascii="宋体"/>
          <w:sz w:val="24"/>
        </w:rPr>
        <w:t>25.2</w:t>
      </w:r>
      <w:r>
        <w:rPr>
          <w:rFonts w:ascii="宋体" w:hint="eastAsia"/>
          <w:sz w:val="24"/>
        </w:rPr>
        <w:t>前附表中另有规定成交候选人推荐原则的，以前附表规定为准。</w:t>
      </w:r>
    </w:p>
    <w:p>
      <w:pPr>
        <w:tabs>
          <w:tab w:val="left" w:pos="360"/>
          <w:tab w:val="left" w:pos="588"/>
        </w:tabs>
        <w:spacing w:line="360" w:lineRule="auto"/>
        <w:rPr>
          <w:rFonts w:ascii="宋体"/>
          <w:sz w:val="24"/>
        </w:rPr>
      </w:pPr>
      <w:r>
        <w:rPr>
          <w:rFonts w:ascii="宋体"/>
          <w:sz w:val="24"/>
        </w:rPr>
        <w:t>25.3</w:t>
      </w:r>
      <w:r>
        <w:rPr>
          <w:rFonts w:ascii="宋体" w:hint="eastAsia"/>
          <w:sz w:val="24"/>
        </w:rPr>
        <w:t>评审小组将根据评审排序，依次推荐前三名供应商为成交候选人。</w:t>
      </w:r>
    </w:p>
    <w:p>
      <w:pPr>
        <w:rPr>
          <w:rFonts w:ascii="宋体"/>
          <w:b/>
          <w:sz w:val="24"/>
        </w:rPr>
      </w:pPr>
      <w:r>
        <w:rPr>
          <w:rFonts w:ascii="宋体"/>
          <w:b/>
          <w:sz w:val="24"/>
        </w:rPr>
        <w:t>26.</w:t>
      </w:r>
      <w:r>
        <w:rPr>
          <w:rFonts w:ascii="宋体" w:hint="eastAsia"/>
          <w:b/>
          <w:sz w:val="24"/>
        </w:rPr>
        <w:t>废标</w:t>
      </w:r>
    </w:p>
    <w:p>
      <w:pPr>
        <w:tabs>
          <w:tab w:val="left" w:pos="360"/>
          <w:tab w:val="left" w:pos="588"/>
        </w:tabs>
        <w:spacing w:line="360" w:lineRule="auto"/>
        <w:rPr>
          <w:rFonts w:ascii="宋体"/>
          <w:sz w:val="24"/>
        </w:rPr>
      </w:pPr>
      <w:r>
        <w:rPr>
          <w:rFonts w:ascii="宋体"/>
          <w:sz w:val="24"/>
        </w:rPr>
        <w:t>26.1</w:t>
      </w:r>
      <w:r>
        <w:rPr>
          <w:rFonts w:ascii="宋体" w:hint="eastAsia"/>
          <w:sz w:val="24"/>
        </w:rPr>
        <w:t>出现下列情况之一时，评审小组有权决定废标，并将理由通知所有供应商：</w:t>
      </w:r>
    </w:p>
    <w:p>
      <w:pPr>
        <w:tabs>
          <w:tab w:val="left" w:pos="360"/>
          <w:tab w:val="left" w:pos="588"/>
        </w:tabs>
        <w:spacing w:line="360" w:lineRule="auto"/>
        <w:rPr>
          <w:rFonts w:ascii="宋体"/>
          <w:sz w:val="24"/>
        </w:rPr>
      </w:pPr>
      <w:r>
        <w:rPr>
          <w:rFonts w:ascii="宋体" w:hint="eastAsia"/>
          <w:sz w:val="24"/>
        </w:rPr>
        <w:t>（</w:t>
      </w:r>
      <w:r>
        <w:rPr>
          <w:rFonts w:ascii="宋体"/>
          <w:sz w:val="24"/>
        </w:rPr>
        <w:t>1</w:t>
      </w:r>
      <w:r>
        <w:rPr>
          <w:rFonts w:ascii="宋体" w:hint="eastAsia"/>
          <w:sz w:val="24"/>
        </w:rPr>
        <w:t>）递交响应文件的供应商不足三家（政府采购管理部门批准的除外）的；</w:t>
      </w:r>
    </w:p>
    <w:p>
      <w:pPr>
        <w:tabs>
          <w:tab w:val="left" w:pos="360"/>
          <w:tab w:val="left" w:pos="588"/>
        </w:tabs>
        <w:spacing w:line="360" w:lineRule="auto"/>
        <w:rPr>
          <w:rFonts w:ascii="宋体"/>
          <w:sz w:val="24"/>
        </w:rPr>
      </w:pPr>
      <w:r>
        <w:rPr>
          <w:rFonts w:ascii="宋体" w:hint="eastAsia"/>
          <w:sz w:val="24"/>
        </w:rPr>
        <w:t>（</w:t>
      </w:r>
      <w:r>
        <w:rPr>
          <w:rFonts w:ascii="宋体"/>
          <w:sz w:val="24"/>
        </w:rPr>
        <w:t>2</w:t>
      </w:r>
      <w:r>
        <w:rPr>
          <w:rFonts w:ascii="宋体" w:hint="eastAsia"/>
          <w:sz w:val="24"/>
        </w:rPr>
        <w:t>）通过资格条件审查或符合性审查的供应商不足</w:t>
      </w:r>
      <w:r>
        <w:rPr>
          <w:rFonts w:ascii="宋体"/>
          <w:sz w:val="24"/>
        </w:rPr>
        <w:t>三</w:t>
      </w:r>
      <w:r>
        <w:rPr>
          <w:rFonts w:ascii="宋体" w:hint="eastAsia"/>
          <w:sz w:val="24"/>
        </w:rPr>
        <w:t>家的；</w:t>
      </w:r>
    </w:p>
    <w:p>
      <w:pPr>
        <w:tabs>
          <w:tab w:val="left" w:pos="360"/>
          <w:tab w:val="left" w:pos="588"/>
        </w:tabs>
        <w:spacing w:line="360" w:lineRule="auto"/>
        <w:rPr>
          <w:rFonts w:ascii="宋体"/>
          <w:sz w:val="24"/>
        </w:rPr>
      </w:pPr>
      <w:r>
        <w:rPr>
          <w:rFonts w:ascii="宋体" w:hint="eastAsia"/>
          <w:sz w:val="24"/>
        </w:rPr>
        <w:t>（</w:t>
      </w:r>
      <w:r>
        <w:rPr>
          <w:rFonts w:ascii="宋体"/>
          <w:sz w:val="24"/>
        </w:rPr>
        <w:t>3</w:t>
      </w:r>
      <w:r>
        <w:rPr>
          <w:rFonts w:ascii="宋体" w:hint="eastAsia"/>
          <w:sz w:val="24"/>
        </w:rPr>
        <w:t>）出现影响采购公正的违法、违规行为的；</w:t>
      </w:r>
    </w:p>
    <w:p>
      <w:pPr>
        <w:tabs>
          <w:tab w:val="left" w:pos="360"/>
          <w:tab w:val="left" w:pos="588"/>
        </w:tabs>
        <w:spacing w:line="360" w:lineRule="auto"/>
        <w:rPr>
          <w:rFonts w:ascii="宋体"/>
          <w:sz w:val="24"/>
        </w:rPr>
      </w:pPr>
      <w:r>
        <w:rPr>
          <w:rFonts w:ascii="宋体" w:hint="eastAsia"/>
          <w:sz w:val="24"/>
        </w:rPr>
        <w:t>（</w:t>
      </w:r>
      <w:r>
        <w:rPr>
          <w:rFonts w:ascii="宋体"/>
          <w:sz w:val="24"/>
        </w:rPr>
        <w:t>4</w:t>
      </w:r>
      <w:r>
        <w:rPr>
          <w:rFonts w:ascii="宋体" w:hint="eastAsia"/>
          <w:sz w:val="24"/>
        </w:rPr>
        <w:t>）因重大变故，采购任务取消的。</w:t>
      </w:r>
    </w:p>
    <w:p>
      <w:pPr>
        <w:tabs>
          <w:tab w:val="left" w:pos="588"/>
        </w:tabs>
        <w:rPr>
          <w:rFonts w:ascii="宋体"/>
          <w:sz w:val="24"/>
        </w:rPr>
      </w:pPr>
      <w:r>
        <w:rPr>
          <w:rFonts w:ascii="宋体"/>
          <w:b/>
          <w:sz w:val="24"/>
        </w:rPr>
        <w:t>27.</w:t>
      </w:r>
      <w:r>
        <w:rPr>
          <w:rFonts w:ascii="宋体" w:hint="eastAsia"/>
          <w:b/>
          <w:sz w:val="24"/>
        </w:rPr>
        <w:t>串标</w:t>
      </w:r>
      <w:r>
        <w:rPr>
          <w:rFonts w:ascii="宋体"/>
          <w:b/>
          <w:sz w:val="24"/>
        </w:rPr>
        <w:t xml:space="preserve"> </w:t>
      </w:r>
      <w:r>
        <w:rPr>
          <w:rFonts w:ascii="宋体"/>
          <w:sz w:val="24"/>
        </w:rPr>
        <w:t xml:space="preserve"> </w:t>
      </w:r>
    </w:p>
    <w:p>
      <w:pPr>
        <w:tabs>
          <w:tab w:val="left" w:pos="360"/>
          <w:tab w:val="left" w:pos="588"/>
        </w:tabs>
        <w:spacing w:line="360" w:lineRule="auto"/>
        <w:rPr>
          <w:rFonts w:ascii="宋体"/>
          <w:sz w:val="24"/>
        </w:rPr>
      </w:pPr>
      <w:r>
        <w:rPr>
          <w:rFonts w:ascii="宋体"/>
          <w:sz w:val="24"/>
        </w:rPr>
        <w:t>27.1</w:t>
      </w:r>
      <w:r>
        <w:rPr>
          <w:rFonts w:ascii="宋体" w:hint="eastAsia"/>
          <w:sz w:val="24"/>
        </w:rPr>
        <w:t>供应商有《政府采购法实施条例》第七十四条规定情形之一的，属于恶意串通，其响应无效，并按有关规定追究法律责任。</w:t>
      </w:r>
    </w:p>
    <w:p>
      <w:pPr>
        <w:tabs>
          <w:tab w:val="left" w:pos="360"/>
          <w:tab w:val="left" w:pos="588"/>
        </w:tabs>
        <w:spacing w:line="360" w:lineRule="auto"/>
        <w:rPr>
          <w:rFonts w:ascii="宋体"/>
          <w:sz w:val="24"/>
        </w:rPr>
      </w:pPr>
      <w:r>
        <w:rPr>
          <w:rFonts w:ascii="宋体"/>
          <w:sz w:val="24"/>
        </w:rPr>
        <w:t>27.2</w:t>
      </w:r>
      <w:r>
        <w:rPr>
          <w:rFonts w:ascii="宋体" w:hint="eastAsia"/>
          <w:sz w:val="24"/>
        </w:rPr>
        <w:t>供应商有下列情形之一的，视为串通投标，其响应无效。</w:t>
      </w:r>
    </w:p>
    <w:p>
      <w:pPr>
        <w:tabs>
          <w:tab w:val="left" w:pos="360"/>
          <w:tab w:val="left" w:pos="588"/>
        </w:tabs>
        <w:spacing w:line="360" w:lineRule="auto"/>
        <w:rPr>
          <w:rFonts w:ascii="宋体"/>
          <w:sz w:val="24"/>
        </w:rPr>
      </w:pPr>
      <w:r>
        <w:rPr>
          <w:rFonts w:ascii="宋体" w:hint="eastAsia"/>
          <w:sz w:val="24"/>
        </w:rPr>
        <w:t>（</w:t>
      </w:r>
      <w:r>
        <w:rPr>
          <w:rFonts w:ascii="宋体"/>
          <w:sz w:val="24"/>
        </w:rPr>
        <w:t>1</w:t>
      </w:r>
      <w:r>
        <w:rPr>
          <w:rFonts w:ascii="宋体" w:hint="eastAsia"/>
          <w:sz w:val="24"/>
        </w:rPr>
        <w:t>）不同供应商的响应文件由同一单位或者个人编制；</w:t>
      </w:r>
    </w:p>
    <w:p>
      <w:pPr>
        <w:tabs>
          <w:tab w:val="left" w:pos="360"/>
          <w:tab w:val="left" w:pos="588"/>
        </w:tabs>
        <w:spacing w:line="360" w:lineRule="auto"/>
        <w:rPr>
          <w:rFonts w:ascii="宋体"/>
          <w:sz w:val="24"/>
        </w:rPr>
      </w:pPr>
      <w:r>
        <w:rPr>
          <w:rFonts w:ascii="宋体" w:hint="eastAsia"/>
          <w:sz w:val="24"/>
        </w:rPr>
        <w:t>（</w:t>
      </w:r>
      <w:r>
        <w:rPr>
          <w:rFonts w:ascii="宋体"/>
          <w:sz w:val="24"/>
        </w:rPr>
        <w:t>2</w:t>
      </w:r>
      <w:r>
        <w:rPr>
          <w:rFonts w:ascii="宋体" w:hint="eastAsia"/>
          <w:sz w:val="24"/>
        </w:rPr>
        <w:t>）不同供应商委托同一单位或者个人办理比选事宜；</w:t>
      </w:r>
    </w:p>
    <w:p>
      <w:pPr>
        <w:tabs>
          <w:tab w:val="left" w:pos="360"/>
          <w:tab w:val="left" w:pos="588"/>
        </w:tabs>
        <w:spacing w:line="360" w:lineRule="auto"/>
        <w:rPr>
          <w:rFonts w:ascii="宋体"/>
          <w:sz w:val="24"/>
        </w:rPr>
      </w:pPr>
      <w:r>
        <w:rPr>
          <w:rFonts w:ascii="宋体" w:hint="eastAsia"/>
          <w:sz w:val="24"/>
        </w:rPr>
        <w:t>（</w:t>
      </w:r>
      <w:r>
        <w:rPr>
          <w:rFonts w:ascii="宋体"/>
          <w:sz w:val="24"/>
        </w:rPr>
        <w:t>3</w:t>
      </w:r>
      <w:r>
        <w:rPr>
          <w:rFonts w:ascii="宋体" w:hint="eastAsia"/>
          <w:sz w:val="24"/>
        </w:rPr>
        <w:t>）不同供应商的响应文件载明的项目管理成员或者联系人员为同一人；</w:t>
      </w:r>
    </w:p>
    <w:p>
      <w:pPr>
        <w:tabs>
          <w:tab w:val="left" w:pos="360"/>
          <w:tab w:val="left" w:pos="588"/>
        </w:tabs>
        <w:spacing w:line="360" w:lineRule="auto"/>
        <w:rPr>
          <w:rFonts w:ascii="宋体"/>
          <w:sz w:val="24"/>
        </w:rPr>
      </w:pPr>
      <w:r>
        <w:rPr>
          <w:rFonts w:ascii="宋体" w:hint="eastAsia"/>
          <w:sz w:val="24"/>
        </w:rPr>
        <w:t>（</w:t>
      </w:r>
      <w:r>
        <w:rPr>
          <w:rFonts w:ascii="宋体"/>
          <w:sz w:val="24"/>
        </w:rPr>
        <w:t>4</w:t>
      </w:r>
      <w:r>
        <w:rPr>
          <w:rFonts w:ascii="宋体" w:hint="eastAsia"/>
          <w:sz w:val="24"/>
        </w:rPr>
        <w:t>）不同供应商的响应文件异常一致或者响应报价呈规律性差异；</w:t>
      </w:r>
    </w:p>
    <w:p>
      <w:pPr>
        <w:tabs>
          <w:tab w:val="left" w:pos="360"/>
          <w:tab w:val="left" w:pos="588"/>
        </w:tabs>
        <w:spacing w:line="360" w:lineRule="auto"/>
        <w:rPr>
          <w:rFonts w:ascii="宋体"/>
          <w:sz w:val="24"/>
        </w:rPr>
      </w:pPr>
      <w:r>
        <w:rPr>
          <w:rFonts w:ascii="宋体" w:hint="eastAsia"/>
          <w:sz w:val="24"/>
        </w:rPr>
        <w:t>（</w:t>
      </w:r>
      <w:r>
        <w:rPr>
          <w:rFonts w:ascii="宋体"/>
          <w:sz w:val="24"/>
        </w:rPr>
        <w:t>5</w:t>
      </w:r>
      <w:r>
        <w:rPr>
          <w:rFonts w:ascii="宋体" w:hint="eastAsia"/>
          <w:sz w:val="24"/>
        </w:rPr>
        <w:t>）不同供应商的响应文件相互混装。</w:t>
      </w:r>
    </w:p>
    <w:p>
      <w:pPr>
        <w:spacing w:before="100" w:beforeAutospacing="1" w:after="100" w:afterAutospacing="1"/>
        <w:jc w:val="center"/>
        <w:rPr>
          <w:rFonts w:ascii="宋体"/>
          <w:b/>
          <w:sz w:val="24"/>
          <w:szCs w:val="21"/>
        </w:rPr>
      </w:pPr>
      <w:r>
        <w:rPr>
          <w:rFonts w:ascii="宋体" w:hint="eastAsia"/>
          <w:b/>
          <w:sz w:val="24"/>
          <w:szCs w:val="21"/>
        </w:rPr>
        <w:t>六、授予合同</w:t>
      </w:r>
    </w:p>
    <w:p>
      <w:pPr>
        <w:rPr>
          <w:rFonts w:ascii="宋体"/>
          <w:b/>
          <w:sz w:val="24"/>
        </w:rPr>
      </w:pPr>
      <w:r>
        <w:rPr>
          <w:rFonts w:ascii="宋体"/>
          <w:b/>
          <w:sz w:val="24"/>
        </w:rPr>
        <w:t>28.</w:t>
      </w:r>
      <w:r>
        <w:rPr>
          <w:rFonts w:ascii="宋体" w:hint="eastAsia"/>
          <w:b/>
          <w:sz w:val="24"/>
        </w:rPr>
        <w:t>定标准则</w:t>
      </w:r>
    </w:p>
    <w:p>
      <w:pPr>
        <w:tabs>
          <w:tab w:val="left" w:pos="360"/>
          <w:tab w:val="left" w:pos="588"/>
        </w:tabs>
        <w:spacing w:line="360" w:lineRule="auto"/>
        <w:rPr>
          <w:rFonts w:ascii="宋体"/>
          <w:sz w:val="24"/>
        </w:rPr>
      </w:pPr>
      <w:r>
        <w:rPr>
          <w:rFonts w:ascii="宋体"/>
          <w:sz w:val="24"/>
        </w:rPr>
        <w:t>28.1</w:t>
      </w:r>
      <w:r>
        <w:rPr>
          <w:rFonts w:ascii="宋体" w:hint="eastAsia"/>
          <w:sz w:val="24"/>
        </w:rPr>
        <w:t>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pPr>
        <w:tabs>
          <w:tab w:val="left" w:pos="360"/>
          <w:tab w:val="left" w:pos="588"/>
        </w:tabs>
        <w:spacing w:line="360" w:lineRule="auto"/>
        <w:rPr>
          <w:rFonts w:ascii="宋体"/>
          <w:sz w:val="24"/>
        </w:rPr>
      </w:pPr>
      <w:r>
        <w:rPr>
          <w:rFonts w:ascii="宋体"/>
          <w:sz w:val="24"/>
        </w:rPr>
        <w:t>28.2</w:t>
      </w:r>
      <w:r>
        <w:rPr>
          <w:rFonts w:ascii="宋体" w:hint="eastAsia"/>
          <w:sz w:val="24"/>
        </w:rPr>
        <w:t>采购人不承诺报价最低的供应商为成交供应商。</w:t>
      </w:r>
    </w:p>
    <w:p>
      <w:pPr>
        <w:tabs>
          <w:tab w:val="left" w:pos="360"/>
          <w:tab w:val="left" w:pos="588"/>
        </w:tabs>
        <w:spacing w:line="360" w:lineRule="auto"/>
        <w:rPr>
          <w:rFonts w:ascii="宋体"/>
          <w:sz w:val="24"/>
        </w:rPr>
      </w:pPr>
      <w:r>
        <w:rPr>
          <w:rFonts w:ascii="宋体"/>
          <w:sz w:val="24"/>
        </w:rPr>
        <w:t>28.3</w:t>
      </w:r>
      <w:r>
        <w:rPr>
          <w:rFonts w:ascii="宋体" w:hint="eastAsia"/>
          <w:sz w:val="24"/>
        </w:rPr>
        <w:t>采购人有权组织评审小组对拟确定的成交供应商所提供的证明材料进行核实，如发现不符，将按提供虚假材料行为处罚，并按第</w:t>
      </w:r>
      <w:r>
        <w:rPr>
          <w:rFonts w:ascii="宋体"/>
          <w:sz w:val="24"/>
        </w:rPr>
        <w:t>28.1</w:t>
      </w:r>
      <w:r>
        <w:rPr>
          <w:rFonts w:ascii="宋体" w:hint="eastAsia"/>
          <w:sz w:val="24"/>
        </w:rPr>
        <w:t>条重新确定成交供应商。</w:t>
      </w:r>
    </w:p>
    <w:p>
      <w:pPr>
        <w:rPr>
          <w:rFonts w:ascii="宋体"/>
          <w:b/>
          <w:sz w:val="24"/>
        </w:rPr>
      </w:pPr>
      <w:r>
        <w:rPr>
          <w:rFonts w:ascii="宋体"/>
          <w:b/>
          <w:sz w:val="24"/>
        </w:rPr>
        <w:t>29.</w:t>
      </w:r>
      <w:r>
        <w:rPr>
          <w:rFonts w:ascii="宋体" w:hint="eastAsia"/>
          <w:b/>
          <w:sz w:val="24"/>
        </w:rPr>
        <w:t>成交通知</w:t>
      </w:r>
    </w:p>
    <w:p>
      <w:pPr>
        <w:tabs>
          <w:tab w:val="left" w:pos="360"/>
          <w:tab w:val="left" w:pos="588"/>
        </w:tabs>
        <w:spacing w:line="360" w:lineRule="auto"/>
        <w:rPr>
          <w:rFonts w:ascii="宋体"/>
          <w:sz w:val="24"/>
        </w:rPr>
      </w:pPr>
      <w:r>
        <w:rPr>
          <w:rFonts w:ascii="宋体"/>
          <w:sz w:val="24"/>
        </w:rPr>
        <w:t>29.1</w:t>
      </w:r>
      <w:r>
        <w:rPr>
          <w:rFonts w:ascii="宋体" w:hint="eastAsia"/>
          <w:sz w:val="24"/>
        </w:rPr>
        <w:t>成交供应商确定后，采购人</w:t>
      </w:r>
      <w:r>
        <w:rPr>
          <w:rFonts w:ascii="宋体" w:hint="eastAsia"/>
          <w:kern w:val="24"/>
          <w:sz w:val="24"/>
          <w:szCs w:val="21"/>
        </w:rPr>
        <w:t>将在重庆海关官方网站（</w:t>
      </w:r>
      <w:r>
        <w:rPr>
          <w:rFonts w:ascii="宋体"/>
          <w:kern w:val="24"/>
          <w:sz w:val="24"/>
          <w:szCs w:val="21"/>
        </w:rPr>
        <w:t>http://chongqing.customs.gov.cn</w:t>
      </w:r>
      <w:r>
        <w:rPr>
          <w:rFonts w:hint="eastAsia"/>
        </w:rPr>
        <w:t>）</w:t>
      </w:r>
      <w:r>
        <w:rPr>
          <w:rFonts w:ascii="宋体" w:hint="eastAsia"/>
          <w:kern w:val="24"/>
          <w:sz w:val="24"/>
          <w:szCs w:val="21"/>
        </w:rPr>
        <w:t>发布成交结果</w:t>
      </w:r>
      <w:r>
        <w:rPr>
          <w:rFonts w:ascii="宋体" w:hint="eastAsia"/>
          <w:sz w:val="24"/>
        </w:rPr>
        <w:t>。</w:t>
      </w:r>
    </w:p>
    <w:p>
      <w:pPr>
        <w:rPr>
          <w:rFonts w:ascii="宋体"/>
          <w:b/>
          <w:sz w:val="24"/>
        </w:rPr>
      </w:pPr>
      <w:r>
        <w:rPr>
          <w:rFonts w:ascii="宋体"/>
          <w:b/>
          <w:sz w:val="24"/>
        </w:rPr>
        <w:t>30.</w:t>
      </w:r>
      <w:r>
        <w:rPr>
          <w:rFonts w:ascii="宋体" w:hint="eastAsia"/>
          <w:b/>
          <w:sz w:val="24"/>
        </w:rPr>
        <w:t>接受和拒绝任何或所有投标的权力</w:t>
      </w:r>
    </w:p>
    <w:p>
      <w:pPr>
        <w:tabs>
          <w:tab w:val="left" w:pos="360"/>
          <w:tab w:val="left" w:pos="588"/>
        </w:tabs>
        <w:spacing w:line="360" w:lineRule="auto"/>
        <w:rPr>
          <w:rFonts w:ascii="宋体"/>
          <w:sz w:val="24"/>
        </w:rPr>
      </w:pPr>
      <w:r>
        <w:rPr>
          <w:rFonts w:ascii="宋体"/>
          <w:sz w:val="24"/>
        </w:rPr>
        <w:t>30.1</w:t>
      </w:r>
      <w:r>
        <w:rPr>
          <w:rFonts w:ascii="宋体" w:hint="eastAsia"/>
          <w:sz w:val="24"/>
        </w:rPr>
        <w:t>为维护国家和社会公共利益，采购人保留在授标之前任何时候接受或拒绝任何投标的权力，且对受影响的供应商不承担任何责任。</w:t>
      </w:r>
    </w:p>
    <w:p>
      <w:pPr>
        <w:rPr>
          <w:rFonts w:ascii="宋体"/>
          <w:b/>
          <w:sz w:val="24"/>
        </w:rPr>
      </w:pPr>
      <w:r>
        <w:rPr>
          <w:rFonts w:ascii="宋体"/>
          <w:b/>
          <w:sz w:val="24"/>
        </w:rPr>
        <w:t>31.</w:t>
      </w:r>
      <w:r>
        <w:rPr>
          <w:rFonts w:ascii="宋体" w:hint="eastAsia"/>
          <w:b/>
          <w:sz w:val="24"/>
        </w:rPr>
        <w:t>签订合同</w:t>
      </w:r>
    </w:p>
    <w:p>
      <w:pPr>
        <w:tabs>
          <w:tab w:val="left" w:pos="360"/>
          <w:tab w:val="left" w:pos="588"/>
        </w:tabs>
        <w:spacing w:line="360" w:lineRule="auto"/>
        <w:rPr>
          <w:rFonts w:ascii="宋体"/>
          <w:sz w:val="24"/>
        </w:rPr>
      </w:pPr>
      <w:r>
        <w:rPr>
          <w:rFonts w:ascii="宋体"/>
          <w:sz w:val="24"/>
        </w:rPr>
        <w:t>31.1</w:t>
      </w:r>
      <w:r>
        <w:rPr>
          <w:rFonts w:ascii="宋体" w:hint="eastAsia"/>
          <w:sz w:val="24"/>
        </w:rPr>
        <w:t>采购人应当自成交通知公示期满之日起</w:t>
      </w:r>
      <w:r>
        <w:rPr>
          <w:rFonts w:hint="eastAsia"/>
          <w:kern w:val="0"/>
          <w:sz w:val="24"/>
        </w:rPr>
        <w:t>三十日内</w:t>
      </w:r>
      <w:r>
        <w:rPr>
          <w:rFonts w:ascii="宋体" w:hint="eastAsia"/>
          <w:sz w:val="24"/>
        </w:rPr>
        <w:t>，与成交人签订合同。成交人无正当理由拒绝与采购人签订合同的，将承担相应的法律责任。</w:t>
      </w:r>
    </w:p>
    <w:p>
      <w:pPr>
        <w:tabs>
          <w:tab w:val="left" w:pos="360"/>
          <w:tab w:val="left" w:pos="588"/>
        </w:tabs>
        <w:spacing w:line="360" w:lineRule="auto"/>
        <w:rPr>
          <w:rFonts w:ascii="宋体"/>
          <w:sz w:val="24"/>
        </w:rPr>
      </w:pPr>
      <w:r>
        <w:rPr>
          <w:rFonts w:ascii="宋体"/>
          <w:sz w:val="24"/>
        </w:rPr>
        <w:t>31.2</w:t>
      </w:r>
      <w:r>
        <w:rPr>
          <w:rFonts w:ascii="宋体" w:hint="eastAsia"/>
          <w:sz w:val="24"/>
        </w:rPr>
        <w:t>成交通知书、成交人的响应文件及双方确认的澄清文件等，均为有法律约束力的经济合同组成的一部分。</w:t>
      </w:r>
    </w:p>
    <w:p>
      <w:pPr>
        <w:tabs>
          <w:tab w:val="left" w:pos="360"/>
          <w:tab w:val="left" w:pos="588"/>
        </w:tabs>
        <w:spacing w:line="360" w:lineRule="auto"/>
        <w:rPr>
          <w:rFonts w:ascii="宋体"/>
          <w:sz w:val="24"/>
        </w:rPr>
      </w:pPr>
      <w:r>
        <w:rPr>
          <w:rFonts w:ascii="宋体"/>
          <w:sz w:val="24"/>
        </w:rPr>
        <w:t>31.3</w:t>
      </w:r>
      <w:r>
        <w:rPr>
          <w:rFonts w:ascii="宋体" w:hint="eastAsia"/>
          <w:sz w:val="24"/>
        </w:rPr>
        <w:t>成交人在比选期间按照比选文件的要求提供的任何文稿，包括：报告、说明、规划书、建议书和方案设计等书面材料或电子文档，其使用权和版权都归采购人所有（但该知识产权具有人身专属性的权利内容仍属成交人所有）。</w:t>
      </w:r>
    </w:p>
    <w:p>
      <w:pPr>
        <w:rPr>
          <w:rFonts w:ascii="宋体"/>
          <w:b/>
          <w:sz w:val="24"/>
        </w:rPr>
      </w:pPr>
      <w:r>
        <w:rPr>
          <w:rFonts w:ascii="宋体"/>
          <w:b/>
          <w:sz w:val="24"/>
        </w:rPr>
        <w:t>32.</w:t>
      </w:r>
      <w:r>
        <w:rPr>
          <w:rFonts w:ascii="宋体" w:hint="eastAsia"/>
          <w:b/>
          <w:sz w:val="24"/>
        </w:rPr>
        <w:t>采购人追加采购数量的权利</w:t>
      </w:r>
    </w:p>
    <w:p>
      <w:pPr>
        <w:tabs>
          <w:tab w:val="left" w:pos="360"/>
          <w:tab w:val="left" w:pos="588"/>
        </w:tabs>
        <w:spacing w:line="360" w:lineRule="auto"/>
        <w:rPr>
          <w:rFonts w:ascii="宋体"/>
          <w:sz w:val="24"/>
        </w:rPr>
      </w:pPr>
      <w:r>
        <w:rPr>
          <w:rFonts w:ascii="宋体"/>
          <w:sz w:val="24"/>
        </w:rPr>
        <w:t>32.1</w:t>
      </w:r>
      <w:r>
        <w:rPr>
          <w:rFonts w:ascii="宋体" w:hint="eastAsia"/>
          <w:sz w:val="24"/>
        </w:rPr>
        <w:t>在合同履行中，采购人需追加与合同标的相同货物或服务的，在不改变合同其他条款的前提下，采购人有权与成交人协商签订补充合同，但所有补充合同的采购金额不得超过原合同采购金额</w:t>
      </w:r>
      <w:r>
        <w:rPr>
          <w:rFonts w:ascii="宋体"/>
          <w:sz w:val="24"/>
        </w:rPr>
        <w:t>10%</w:t>
      </w:r>
      <w:r>
        <w:rPr>
          <w:rFonts w:ascii="宋体" w:hint="eastAsia"/>
          <w:sz w:val="24"/>
        </w:rPr>
        <w:t>。</w:t>
      </w:r>
    </w:p>
    <w:p>
      <w:pPr>
        <w:rPr>
          <w:rFonts w:ascii="宋体"/>
          <w:b/>
          <w:sz w:val="24"/>
        </w:rPr>
      </w:pPr>
      <w:r>
        <w:rPr>
          <w:rFonts w:ascii="宋体"/>
          <w:b/>
          <w:sz w:val="24"/>
        </w:rPr>
        <w:t>33.</w:t>
      </w:r>
      <w:r>
        <w:rPr>
          <w:rFonts w:ascii="宋体" w:hint="eastAsia"/>
          <w:b/>
          <w:sz w:val="24"/>
        </w:rPr>
        <w:t>履约保证金</w:t>
      </w:r>
    </w:p>
    <w:p>
      <w:pPr>
        <w:rPr>
          <w:rFonts w:ascii="宋体"/>
          <w:sz w:val="24"/>
        </w:rPr>
      </w:pPr>
      <w:r>
        <w:rPr>
          <w:rFonts w:ascii="宋体" w:hint="eastAsia"/>
          <w:sz w:val="24"/>
        </w:rPr>
        <w:t>无。</w:t>
      </w:r>
    </w:p>
    <w:p>
      <w:pPr>
        <w:rPr>
          <w:rFonts w:ascii="宋体"/>
          <w:b/>
          <w:sz w:val="24"/>
        </w:rPr>
      </w:pPr>
      <w:r>
        <w:rPr>
          <w:rFonts w:ascii="宋体"/>
          <w:b/>
          <w:sz w:val="24"/>
        </w:rPr>
        <w:t>34.</w:t>
      </w:r>
      <w:r>
        <w:rPr>
          <w:rFonts w:ascii="宋体" w:hint="eastAsia"/>
          <w:b/>
          <w:sz w:val="24"/>
        </w:rPr>
        <w:t>重新授予合同</w:t>
      </w:r>
    </w:p>
    <w:p>
      <w:pPr>
        <w:tabs>
          <w:tab w:val="left" w:pos="360"/>
          <w:tab w:val="left" w:pos="588"/>
        </w:tabs>
        <w:spacing w:line="360" w:lineRule="auto"/>
        <w:rPr>
          <w:rFonts w:ascii="宋体"/>
          <w:sz w:val="24"/>
        </w:rPr>
      </w:pPr>
      <w:r>
        <w:rPr>
          <w:rFonts w:ascii="宋体"/>
          <w:sz w:val="24"/>
        </w:rPr>
        <w:t>34.1</w:t>
      </w:r>
      <w:r>
        <w:rPr>
          <w:rFonts w:ascii="宋体" w:hint="eastAsia"/>
          <w:sz w:val="24"/>
        </w:rPr>
        <w:t>如果成交人没有按照上述第</w:t>
      </w:r>
      <w:r>
        <w:rPr>
          <w:rFonts w:ascii="宋体"/>
          <w:sz w:val="24"/>
        </w:rPr>
        <w:t>31.1</w:t>
      </w:r>
      <w:r>
        <w:rPr>
          <w:rFonts w:ascii="宋体" w:hint="eastAsia"/>
          <w:sz w:val="24"/>
        </w:rPr>
        <w:t>条规定执行，采购人有权取消该成交决定，采购人可以按照评审小组推荐的成交候选人名单排序，将合同授予下一成交候选人或重新组织采购确定成交供应商。</w:t>
      </w:r>
    </w:p>
    <w:p>
      <w:pPr>
        <w:jc w:val="center"/>
        <w:rPr>
          <w:rFonts w:ascii="宋体"/>
          <w:b/>
          <w:sz w:val="24"/>
        </w:rPr>
      </w:pPr>
      <w:bookmarkStart w:id="85" w:name="EB17f66e60af9642f2bbc4d0da719042ab"/>
      <w:bookmarkEnd w:id="85"/>
      <w:r>
        <w:rPr>
          <w:rFonts w:ascii="宋体" w:hint="eastAsia"/>
          <w:b/>
          <w:sz w:val="24"/>
        </w:rPr>
        <w:t>七、质疑提出与处理</w:t>
      </w:r>
    </w:p>
    <w:p>
      <w:pPr>
        <w:rPr>
          <w:rFonts w:ascii="宋体"/>
          <w:b/>
          <w:sz w:val="24"/>
        </w:rPr>
      </w:pPr>
      <w:r>
        <w:rPr>
          <w:rFonts w:ascii="宋体"/>
          <w:b/>
          <w:sz w:val="24"/>
        </w:rPr>
        <w:t>35.</w:t>
      </w:r>
      <w:r>
        <w:rPr>
          <w:rFonts w:ascii="宋体" w:hint="eastAsia"/>
          <w:b/>
          <w:sz w:val="24"/>
        </w:rPr>
        <w:t>质疑提出</w:t>
      </w:r>
    </w:p>
    <w:p>
      <w:pPr>
        <w:tabs>
          <w:tab w:val="left" w:pos="360"/>
          <w:tab w:val="left" w:pos="588"/>
        </w:tabs>
        <w:spacing w:line="360" w:lineRule="auto"/>
        <w:rPr>
          <w:rFonts w:ascii="宋体"/>
          <w:sz w:val="24"/>
        </w:rPr>
      </w:pPr>
      <w:r>
        <w:rPr>
          <w:rFonts w:ascii="宋体"/>
          <w:sz w:val="24"/>
        </w:rPr>
        <w:t>35.1</w:t>
      </w:r>
      <w:r>
        <w:rPr>
          <w:rFonts w:ascii="宋体" w:hint="eastAsia"/>
          <w:sz w:val="24"/>
        </w:rPr>
        <w:t>供应商认为比选文件、比选过程及成交结果使自己的权益受到损害的，可以在知道或应知权益受到损害之日起七个工作日内提出，针对同一采购程序环节的质疑应一次性提出。</w:t>
      </w:r>
    </w:p>
    <w:p>
      <w:pPr>
        <w:tabs>
          <w:tab w:val="left" w:pos="360"/>
          <w:tab w:val="left" w:pos="588"/>
        </w:tabs>
        <w:spacing w:line="360" w:lineRule="auto"/>
        <w:rPr>
          <w:rFonts w:ascii="宋体"/>
          <w:sz w:val="24"/>
        </w:rPr>
      </w:pPr>
      <w:r>
        <w:rPr>
          <w:rFonts w:ascii="宋体"/>
          <w:sz w:val="24"/>
        </w:rPr>
        <w:t>35.2</w:t>
      </w:r>
      <w:r>
        <w:rPr>
          <w:rFonts w:ascii="宋体" w:hint="eastAsia"/>
          <w:sz w:val="24"/>
        </w:rPr>
        <w:t>供应商质疑应当有明确的事项，并符合下列要求：</w:t>
      </w:r>
    </w:p>
    <w:p>
      <w:pPr>
        <w:tabs>
          <w:tab w:val="left" w:pos="360"/>
          <w:tab w:val="left" w:pos="588"/>
        </w:tabs>
        <w:spacing w:line="360" w:lineRule="auto"/>
        <w:rPr>
          <w:rFonts w:ascii="宋体"/>
          <w:sz w:val="24"/>
        </w:rPr>
      </w:pPr>
      <w:r>
        <w:rPr>
          <w:rFonts w:ascii="宋体" w:hint="eastAsia"/>
          <w:sz w:val="24"/>
        </w:rPr>
        <w:t>（</w:t>
      </w:r>
      <w:r>
        <w:rPr>
          <w:rFonts w:ascii="宋体"/>
          <w:sz w:val="24"/>
        </w:rPr>
        <w:t>1</w:t>
      </w:r>
      <w:r>
        <w:rPr>
          <w:rFonts w:ascii="宋体" w:hint="eastAsia"/>
          <w:sz w:val="24"/>
        </w:rPr>
        <w:t>）提出质疑的供应商应当是按规定直接取得比选文件并参与比选的供应商；</w:t>
      </w:r>
    </w:p>
    <w:p>
      <w:pPr>
        <w:tabs>
          <w:tab w:val="left" w:pos="360"/>
          <w:tab w:val="left" w:pos="588"/>
        </w:tabs>
        <w:spacing w:line="360" w:lineRule="auto"/>
        <w:rPr>
          <w:rFonts w:ascii="宋体"/>
          <w:sz w:val="24"/>
        </w:rPr>
      </w:pPr>
      <w:r>
        <w:rPr>
          <w:rFonts w:ascii="宋体" w:hint="eastAsia"/>
          <w:sz w:val="24"/>
        </w:rPr>
        <w:t>（</w:t>
      </w:r>
      <w:r>
        <w:rPr>
          <w:rFonts w:ascii="宋体"/>
          <w:sz w:val="24"/>
        </w:rPr>
        <w:t>2</w:t>
      </w:r>
      <w:r>
        <w:rPr>
          <w:rFonts w:ascii="宋体" w:hint="eastAsia"/>
          <w:sz w:val="24"/>
        </w:rPr>
        <w:t>）提出质疑应当在法定质疑期限内（以当面送达日期或信函快递发出日期为准）；</w:t>
      </w:r>
    </w:p>
    <w:p>
      <w:pPr>
        <w:tabs>
          <w:tab w:val="left" w:pos="360"/>
          <w:tab w:val="left" w:pos="588"/>
        </w:tabs>
        <w:spacing w:line="360" w:lineRule="auto"/>
        <w:rPr>
          <w:rFonts w:ascii="宋体"/>
          <w:sz w:val="24"/>
        </w:rPr>
      </w:pPr>
      <w:r>
        <w:rPr>
          <w:rFonts w:ascii="宋体" w:hint="eastAsia"/>
          <w:sz w:val="24"/>
        </w:rPr>
        <w:t>（</w:t>
      </w:r>
      <w:r>
        <w:rPr>
          <w:rFonts w:ascii="宋体"/>
          <w:sz w:val="24"/>
        </w:rPr>
        <w:t>3</w:t>
      </w:r>
      <w:r>
        <w:rPr>
          <w:rFonts w:ascii="宋体" w:hint="eastAsia"/>
          <w:sz w:val="24"/>
        </w:rPr>
        <w:t>）提出质疑应当提供事实依据和证明材料，证明材料应当内容真实、来源合法；</w:t>
      </w:r>
    </w:p>
    <w:p>
      <w:pPr>
        <w:tabs>
          <w:tab w:val="left" w:pos="360"/>
          <w:tab w:val="left" w:pos="588"/>
        </w:tabs>
        <w:spacing w:line="360" w:lineRule="auto"/>
        <w:rPr>
          <w:rFonts w:ascii="宋体"/>
          <w:sz w:val="24"/>
        </w:rPr>
      </w:pPr>
      <w:r>
        <w:rPr>
          <w:rFonts w:ascii="宋体" w:hint="eastAsia"/>
          <w:sz w:val="24"/>
        </w:rPr>
        <w:t>（</w:t>
      </w:r>
      <w:r>
        <w:rPr>
          <w:rFonts w:ascii="宋体"/>
          <w:sz w:val="24"/>
        </w:rPr>
        <w:t>4</w:t>
      </w:r>
      <w:r>
        <w:rPr>
          <w:rFonts w:ascii="宋体" w:hint="eastAsia"/>
          <w:sz w:val="24"/>
        </w:rPr>
        <w:t>）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360"/>
          <w:tab w:val="left" w:pos="588"/>
        </w:tabs>
        <w:spacing w:line="360" w:lineRule="auto"/>
        <w:rPr>
          <w:rFonts w:ascii="宋体"/>
          <w:sz w:val="24"/>
        </w:rPr>
      </w:pPr>
      <w:r>
        <w:rPr>
          <w:rFonts w:ascii="宋体"/>
          <w:sz w:val="24"/>
        </w:rPr>
        <w:t>35.3</w:t>
      </w:r>
      <w:r>
        <w:rPr>
          <w:rFonts w:ascii="宋体" w:hint="eastAsia"/>
          <w:sz w:val="24"/>
        </w:rPr>
        <w:t>质疑函应当按附件格式通过当面送达或信函快递等原件方式向采购人递交，采购人不接受电子邮件、传真等非原件方式递交的质疑函，格式见附件。</w:t>
      </w:r>
    </w:p>
    <w:p>
      <w:pPr>
        <w:rPr>
          <w:rFonts w:ascii="宋体"/>
          <w:b/>
          <w:sz w:val="24"/>
        </w:rPr>
      </w:pPr>
      <w:r>
        <w:rPr>
          <w:rFonts w:ascii="宋体"/>
          <w:b/>
          <w:sz w:val="24"/>
        </w:rPr>
        <w:t>36.</w:t>
      </w:r>
      <w:r>
        <w:rPr>
          <w:rFonts w:ascii="宋体" w:hint="eastAsia"/>
          <w:b/>
          <w:sz w:val="24"/>
        </w:rPr>
        <w:t>质疑处理</w:t>
      </w:r>
    </w:p>
    <w:p>
      <w:pPr>
        <w:tabs>
          <w:tab w:val="left" w:pos="360"/>
          <w:tab w:val="left" w:pos="588"/>
        </w:tabs>
        <w:spacing w:line="360" w:lineRule="auto"/>
        <w:rPr>
          <w:rFonts w:ascii="宋体"/>
          <w:sz w:val="24"/>
        </w:rPr>
      </w:pPr>
      <w:r>
        <w:rPr>
          <w:rFonts w:ascii="宋体"/>
          <w:sz w:val="24"/>
        </w:rPr>
        <w:t>36.1</w:t>
      </w:r>
      <w:r>
        <w:rPr>
          <w:rFonts w:ascii="宋体" w:hint="eastAsia"/>
          <w:sz w:val="24"/>
        </w:rPr>
        <w:t>对于依法提出的供应商质疑，采购人将在收到质疑函之日起（以当面送达日期或信函快递收到日期为准）七个工作日内书面答复质疑供应商。</w:t>
      </w:r>
    </w:p>
    <w:p>
      <w:pPr>
        <w:tabs>
          <w:tab w:val="left" w:pos="360"/>
          <w:tab w:val="left" w:pos="588"/>
        </w:tabs>
        <w:spacing w:line="360" w:lineRule="auto"/>
        <w:rPr>
          <w:rFonts w:ascii="宋体"/>
          <w:sz w:val="24"/>
        </w:rPr>
      </w:pPr>
      <w:r>
        <w:rPr>
          <w:rFonts w:ascii="宋体"/>
          <w:sz w:val="24"/>
        </w:rPr>
        <w:t>36.2</w:t>
      </w:r>
      <w:r>
        <w:rPr>
          <w:rFonts w:ascii="宋体" w:hint="eastAsia"/>
          <w:sz w:val="24"/>
        </w:rPr>
        <w:t>质疑答复函将通过来人领取或信函邮寄、快递等原件方式向质疑供应商送达，不得以电子邮件、传真等非原件方式送达质疑供应商。</w:t>
      </w:r>
    </w:p>
    <w:p>
      <w:pPr>
        <w:tabs>
          <w:tab w:val="left" w:pos="360"/>
          <w:tab w:val="left" w:pos="588"/>
        </w:tabs>
        <w:spacing w:line="360" w:lineRule="auto"/>
        <w:rPr>
          <w:rFonts w:ascii="宋体"/>
          <w:sz w:val="24"/>
        </w:rPr>
      </w:pPr>
      <w:r>
        <w:rPr>
          <w:rFonts w:ascii="宋体"/>
          <w:sz w:val="24"/>
        </w:rPr>
        <w:t>36.3</w:t>
      </w:r>
      <w:r>
        <w:rPr>
          <w:rFonts w:ascii="宋体" w:hint="eastAsia"/>
          <w:sz w:val="24"/>
        </w:rPr>
        <w:t>质疑供应商提出质疑不符合比选文件</w:t>
      </w:r>
      <w:r>
        <w:rPr>
          <w:rFonts w:ascii="宋体"/>
          <w:sz w:val="24"/>
        </w:rPr>
        <w:t>35.2</w:t>
      </w:r>
      <w:r>
        <w:rPr>
          <w:rFonts w:ascii="宋体" w:hint="eastAsia"/>
          <w:sz w:val="24"/>
        </w:rPr>
        <w:t>和</w:t>
      </w:r>
      <w:r>
        <w:rPr>
          <w:rFonts w:ascii="宋体"/>
          <w:sz w:val="24"/>
        </w:rPr>
        <w:t>35.3</w:t>
      </w:r>
      <w:r>
        <w:rPr>
          <w:rFonts w:ascii="宋体" w:hint="eastAsia"/>
          <w:sz w:val="24"/>
        </w:rPr>
        <w:t>要求的，采购人将不予受理。</w:t>
      </w:r>
    </w:p>
    <w:p>
      <w:pPr>
        <w:pStyle w:val="1"/>
        <w:tabs>
          <w:tab w:val="left" w:pos="432"/>
        </w:tabs>
        <w:rPr>
          <w:rFonts w:ascii="宋体" w:eastAsia="宋体"/>
          <w:b/>
          <w:sz w:val="44"/>
        </w:rPr>
      </w:pPr>
      <w:r>
        <w:rPr>
          <w:rFonts w:ascii="宋体" w:eastAsia="宋体"/>
          <w:b/>
          <w:sz w:val="44"/>
        </w:rPr>
        <w:br w:type="page"/>
      </w:r>
      <w:bookmarkStart w:id="86" w:name="_Toc116306876"/>
      <w:r>
        <w:rPr>
          <w:rFonts w:ascii="宋体" w:eastAsia="宋体" w:hint="eastAsia"/>
          <w:b/>
          <w:sz w:val="44"/>
        </w:rPr>
        <w:t>第三章</w:t>
      </w:r>
      <w:r>
        <w:rPr>
          <w:rFonts w:ascii="宋体" w:eastAsia="宋体"/>
          <w:b/>
          <w:sz w:val="44"/>
        </w:rPr>
        <w:t xml:space="preserve"> </w:t>
      </w:r>
      <w:r>
        <w:rPr>
          <w:rFonts w:ascii="宋体" w:eastAsia="宋体" w:hint="eastAsia"/>
          <w:b/>
          <w:sz w:val="44"/>
        </w:rPr>
        <w:t>项目</w:t>
      </w:r>
      <w:bookmarkStart w:id="87" w:name="_Toc519618634"/>
      <w:r>
        <w:rPr>
          <w:rFonts w:ascii="宋体" w:eastAsia="宋体" w:hint="eastAsia"/>
          <w:b/>
          <w:sz w:val="44"/>
        </w:rPr>
        <w:t>需求</w:t>
      </w:r>
      <w:bookmarkEnd w:id="86"/>
    </w:p>
    <w:p>
      <w:pPr>
        <w:pStyle w:val="148"/>
        <w:spacing w:line="360" w:lineRule="auto"/>
        <w:rPr>
          <w:rFonts w:ascii="宋体" w:cs="宋体"/>
          <w:b/>
          <w:iCs/>
          <w:sz w:val="24"/>
          <w:szCs w:val="24"/>
        </w:rPr>
      </w:pPr>
      <w:bookmarkStart w:id="88" w:name="_Toc116306877"/>
      <w:bookmarkEnd w:id="87"/>
      <w:r>
        <w:rPr>
          <w:rFonts w:ascii="宋体" w:cs="宋体" w:hint="eastAsia"/>
          <w:b/>
          <w:iCs/>
          <w:sz w:val="24"/>
          <w:szCs w:val="24"/>
        </w:rPr>
        <w:t>一、说明</w:t>
      </w:r>
    </w:p>
    <w:p>
      <w:pPr>
        <w:pStyle w:val="143"/>
        <w:ind w:firstLineChars="200" w:firstLine="480"/>
        <w:rPr>
          <w:rFonts w:ascii="宋体" w:cs="宋体"/>
          <w:iCs/>
          <w:szCs w:val="24"/>
        </w:rPr>
      </w:pPr>
      <w:r>
        <w:rPr>
          <w:rFonts w:ascii="宋体" w:cs="宋体" w:hint="eastAsia"/>
          <w:bCs/>
          <w:iCs/>
          <w:kern w:val="0"/>
          <w:szCs w:val="24"/>
        </w:rPr>
        <w:t>1.若所投产品属于国家强制采购的节能/环保产品的，则供应商必须提供国家强制性节能或环保产品进行响应，并提供该产品的强制性节能或环保产品认证证书，否则视为</w:t>
      </w:r>
      <w:r>
        <w:rPr>
          <w:rFonts w:ascii="宋体" w:cs="宋体" w:hint="eastAsia"/>
          <w:b/>
          <w:iCs/>
          <w:kern w:val="0"/>
          <w:szCs w:val="24"/>
        </w:rPr>
        <w:t>无效投标</w:t>
      </w:r>
      <w:r>
        <w:rPr>
          <w:rFonts w:ascii="宋体" w:cs="宋体" w:hint="eastAsia"/>
          <w:bCs/>
          <w:iCs/>
          <w:kern w:val="0"/>
          <w:szCs w:val="24"/>
        </w:rPr>
        <w:t>。</w:t>
      </w:r>
    </w:p>
    <w:p>
      <w:pPr>
        <w:pStyle w:val="148"/>
        <w:spacing w:line="360" w:lineRule="auto"/>
        <w:ind w:firstLineChars="200" w:firstLine="480"/>
        <w:rPr>
          <w:rFonts w:ascii="宋体" w:cs="宋体"/>
          <w:bCs/>
          <w:iCs/>
          <w:sz w:val="24"/>
          <w:szCs w:val="24"/>
        </w:rPr>
      </w:pPr>
      <w:r>
        <w:rPr>
          <w:rFonts w:ascii="宋体" w:cs="宋体" w:hint="eastAsia"/>
          <w:bCs/>
          <w:iCs/>
          <w:sz w:val="24"/>
          <w:szCs w:val="24"/>
        </w:rPr>
        <w:t>2、比选文件中标有“★”号条款为实质性条款，不允许负偏离（不满足要求）或未响应，供应商如有任何一条负偏离或未响应则导致投标无效；标有“▲”号条款为重要技术条款，作为评分项，若不响应或负偏离则相应被扣分。比选文件中“★”、“▲”条款要求提供证明材料的，按要求提供证明材料，否则，视为未响应。</w:t>
      </w:r>
    </w:p>
    <w:p>
      <w:pPr>
        <w:pStyle w:val="148"/>
        <w:spacing w:line="360" w:lineRule="auto"/>
        <w:rPr>
          <w:rFonts w:ascii="宋体" w:cs="宋体"/>
          <w:bCs/>
          <w:iCs/>
        </w:rPr>
      </w:pPr>
    </w:p>
    <w:p>
      <w:pPr>
        <w:pStyle w:val="148"/>
        <w:spacing w:line="360" w:lineRule="auto"/>
        <w:rPr>
          <w:rFonts w:ascii="宋体" w:cs="宋体"/>
          <w:b/>
          <w:iCs/>
          <w:sz w:val="24"/>
          <w:szCs w:val="24"/>
        </w:rPr>
      </w:pPr>
      <w:r>
        <w:rPr>
          <w:rFonts w:ascii="宋体" w:cs="宋体" w:hint="eastAsia"/>
          <w:b/>
          <w:iCs/>
          <w:sz w:val="24"/>
          <w:szCs w:val="24"/>
        </w:rPr>
        <w:t>二、采购清单及技术要求</w:t>
      </w:r>
    </w:p>
    <w:p>
      <w:pPr>
        <w:pStyle w:val="148"/>
        <w:spacing w:line="360" w:lineRule="auto"/>
        <w:rPr>
          <w:rFonts w:ascii="宋体" w:cs="宋体"/>
          <w:bCs/>
          <w:iCs/>
          <w:sz w:val="24"/>
          <w:szCs w:val="24"/>
        </w:rPr>
      </w:pPr>
      <w:r>
        <w:rPr>
          <w:rFonts w:ascii="宋体" w:cs="宋体" w:hint="eastAsia"/>
          <w:bCs/>
          <w:iCs/>
          <w:sz w:val="24"/>
          <w:szCs w:val="24"/>
        </w:rPr>
        <w:t>（一）采购项目需求一览表：</w:t>
      </w:r>
    </w:p>
    <w:tbl>
      <w:tblPr>
        <w:jc w:val="center"/>
        <w:tblW w:w="4012"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919"/>
        <w:gridCol w:w="919"/>
        <w:gridCol w:w="941"/>
        <w:gridCol w:w="1503"/>
        <w:gridCol w:w="1985"/>
        <w:gridCol w:w="1276"/>
      </w:tblGrid>
      <w:tr>
        <w:trPr>
          <w:trHeight w:val="23"/>
        </w:trPr>
        <w:tc>
          <w:tcPr>
            <w:tcW w:w="919" w:type="dxa"/>
            <w:tcBorders>
              <w:tl2br w:val="nil"/>
              <w:tr2bl w:val="nil"/>
            </w:tcBorders>
            <w:shd w:val="clear" w:color="auto" w:fill="EEECE1"/>
            <w:vAlign w:val="center"/>
          </w:tcPr>
          <w:p>
            <w:pPr>
              <w:pStyle w:val="148"/>
              <w:snapToGrid w:val="0"/>
              <w:jc w:val="center"/>
              <w:rPr>
                <w:rFonts w:ascii="宋体" w:cs="宋体"/>
                <w:b/>
                <w:sz w:val="24"/>
              </w:rPr>
            </w:pPr>
            <w:r>
              <w:rPr>
                <w:rFonts w:ascii="宋体" w:cs="宋体" w:hint="eastAsia"/>
                <w:b/>
                <w:sz w:val="24"/>
              </w:rPr>
              <w:t>序号</w:t>
            </w:r>
          </w:p>
        </w:tc>
        <w:tc>
          <w:tcPr>
            <w:tcW w:w="919" w:type="dxa"/>
            <w:tcBorders>
              <w:tl2br w:val="nil"/>
              <w:tr2bl w:val="nil"/>
            </w:tcBorders>
            <w:shd w:val="clear" w:color="auto" w:fill="EEECE1"/>
            <w:vAlign w:val="center"/>
          </w:tcPr>
          <w:p>
            <w:pPr>
              <w:pStyle w:val="148"/>
              <w:snapToGrid w:val="0"/>
              <w:jc w:val="center"/>
              <w:rPr>
                <w:rFonts w:ascii="宋体" w:cs="宋体"/>
                <w:b/>
                <w:sz w:val="24"/>
              </w:rPr>
            </w:pPr>
            <w:r>
              <w:rPr>
                <w:rFonts w:ascii="宋体" w:cs="宋体" w:hint="eastAsia"/>
                <w:b/>
                <w:sz w:val="24"/>
              </w:rPr>
              <w:t>采购内容</w:t>
            </w:r>
          </w:p>
        </w:tc>
        <w:tc>
          <w:tcPr>
            <w:tcW w:w="941" w:type="dxa"/>
            <w:tcBorders>
              <w:tl2br w:val="nil"/>
              <w:tr2bl w:val="nil"/>
            </w:tcBorders>
            <w:shd w:val="clear" w:color="auto" w:fill="EEECE1"/>
            <w:vAlign w:val="center"/>
          </w:tcPr>
          <w:p>
            <w:pPr>
              <w:pStyle w:val="148"/>
              <w:snapToGrid w:val="0"/>
              <w:jc w:val="center"/>
              <w:rPr>
                <w:rFonts w:ascii="宋体" w:cs="宋体"/>
                <w:b/>
                <w:sz w:val="24"/>
              </w:rPr>
            </w:pPr>
            <w:r>
              <w:rPr>
                <w:rFonts w:ascii="宋体" w:cs="宋体" w:hint="eastAsia"/>
                <w:b/>
                <w:sz w:val="24"/>
              </w:rPr>
              <w:t>数量</w:t>
            </w:r>
          </w:p>
          <w:p>
            <w:pPr>
              <w:pStyle w:val="148"/>
              <w:snapToGrid w:val="0"/>
              <w:jc w:val="center"/>
              <w:rPr>
                <w:rFonts w:ascii="宋体" w:cs="宋体"/>
                <w:b/>
                <w:sz w:val="24"/>
              </w:rPr>
            </w:pPr>
            <w:r>
              <w:rPr>
                <w:rFonts w:ascii="宋体" w:cs="宋体" w:hint="eastAsia"/>
                <w:b/>
                <w:sz w:val="24"/>
              </w:rPr>
              <w:t>（台）</w:t>
            </w:r>
          </w:p>
        </w:tc>
        <w:tc>
          <w:tcPr>
            <w:tcW w:w="1503" w:type="dxa"/>
            <w:tcBorders>
              <w:tl2br w:val="nil"/>
              <w:tr2bl w:val="nil"/>
            </w:tcBorders>
            <w:shd w:val="clear" w:color="auto" w:fill="EEECE1"/>
            <w:vAlign w:val="center"/>
          </w:tcPr>
          <w:p>
            <w:pPr>
              <w:pStyle w:val="141"/>
              <w:jc w:val="center"/>
              <w:rPr>
                <w:rFonts w:ascii="宋体" w:cs="宋体"/>
                <w:b/>
                <w:sz w:val="24"/>
              </w:rPr>
            </w:pPr>
            <w:r>
              <w:rPr>
                <w:rFonts w:ascii="宋体" w:cs="宋体" w:hint="eastAsia"/>
                <w:b/>
                <w:sz w:val="24"/>
              </w:rPr>
              <w:t>最高限价</w:t>
            </w:r>
          </w:p>
          <w:p>
            <w:pPr>
              <w:pStyle w:val="141"/>
              <w:jc w:val="center"/>
              <w:rPr>
                <w:rFonts w:ascii="宋体" w:cs="宋体"/>
                <w:b/>
                <w:sz w:val="24"/>
              </w:rPr>
            </w:pPr>
            <w:r>
              <w:rPr>
                <w:rFonts w:ascii="宋体" w:cs="宋体" w:hint="eastAsia"/>
                <w:b/>
                <w:sz w:val="24"/>
              </w:rPr>
              <w:t>（万元）</w:t>
            </w:r>
          </w:p>
        </w:tc>
        <w:tc>
          <w:tcPr>
            <w:tcW w:w="1985" w:type="dxa"/>
            <w:tcBorders>
              <w:tl2br w:val="nil"/>
              <w:tr2bl w:val="nil"/>
            </w:tcBorders>
            <w:shd w:val="clear" w:color="auto" w:fill="EEECE1"/>
            <w:vAlign w:val="center"/>
          </w:tcPr>
          <w:p>
            <w:pPr>
              <w:pStyle w:val="148"/>
              <w:snapToGrid w:val="0"/>
              <w:jc w:val="center"/>
              <w:rPr>
                <w:rFonts w:ascii="宋体" w:cs="宋体"/>
                <w:b/>
                <w:sz w:val="24"/>
              </w:rPr>
            </w:pPr>
            <w:r>
              <w:rPr>
                <w:rFonts w:ascii="宋体" w:cs="宋体" w:hint="eastAsia"/>
                <w:b/>
                <w:sz w:val="24"/>
              </w:rPr>
              <w:t>合同履行期限</w:t>
            </w:r>
          </w:p>
        </w:tc>
        <w:tc>
          <w:tcPr>
            <w:tcW w:w="1276" w:type="dxa"/>
            <w:tcBorders>
              <w:tl2br w:val="nil"/>
              <w:tr2bl w:val="nil"/>
            </w:tcBorders>
            <w:shd w:val="clear" w:color="auto" w:fill="EEECE1"/>
            <w:vAlign w:val="center"/>
          </w:tcPr>
          <w:p>
            <w:pPr>
              <w:pStyle w:val="148"/>
              <w:snapToGrid w:val="0"/>
              <w:jc w:val="center"/>
              <w:rPr>
                <w:rFonts w:ascii="宋体" w:cs="宋体"/>
                <w:bCs/>
                <w:sz w:val="24"/>
              </w:rPr>
            </w:pPr>
            <w:r>
              <w:rPr>
                <w:rFonts w:ascii="宋体" w:cs="宋体" w:hint="eastAsia"/>
                <w:b/>
                <w:sz w:val="24"/>
              </w:rPr>
              <w:t>所属行业</w:t>
            </w:r>
          </w:p>
        </w:tc>
      </w:tr>
      <w:tr>
        <w:trPr>
          <w:trHeight w:val="2048"/>
        </w:trPr>
        <w:tc>
          <w:tcPr>
            <w:tcW w:w="919" w:type="dxa"/>
            <w:tcBorders>
              <w:tl2br w:val="nil"/>
              <w:tr2bl w:val="nil"/>
            </w:tcBorders>
            <w:vAlign w:val="center"/>
          </w:tcPr>
          <w:p>
            <w:pPr>
              <w:pStyle w:val="148"/>
              <w:snapToGrid w:val="0"/>
              <w:jc w:val="center"/>
              <w:rPr>
                <w:rFonts w:ascii="宋体" w:cs="宋体"/>
                <w:sz w:val="24"/>
              </w:rPr>
            </w:pPr>
            <w:r>
              <w:rPr>
                <w:rFonts w:ascii="宋体" w:cs="宋体" w:hint="eastAsia"/>
                <w:sz w:val="24"/>
              </w:rPr>
              <w:t>1</w:t>
            </w:r>
          </w:p>
        </w:tc>
        <w:tc>
          <w:tcPr>
            <w:tcW w:w="919" w:type="dxa"/>
            <w:tcBorders>
              <w:tl2br w:val="nil"/>
              <w:tr2bl w:val="nil"/>
            </w:tcBorders>
            <w:vAlign w:val="center"/>
          </w:tcPr>
          <w:p>
            <w:pPr>
              <w:pStyle w:val="148"/>
              <w:snapToGrid w:val="0"/>
              <w:jc w:val="center"/>
              <w:rPr>
                <w:rFonts w:ascii="宋体" w:cs="宋体"/>
                <w:sz w:val="24"/>
                <w:szCs w:val="24"/>
              </w:rPr>
            </w:pPr>
            <w:r>
              <w:rPr>
                <w:rFonts w:ascii="宋体" w:cs="宋体" w:hint="eastAsia"/>
                <w:sz w:val="24"/>
                <w:szCs w:val="24"/>
              </w:rPr>
              <w:t>手持式X荧光光谱仪</w:t>
            </w:r>
          </w:p>
        </w:tc>
        <w:tc>
          <w:tcPr>
            <w:tcW w:w="941" w:type="dxa"/>
            <w:tcBorders>
              <w:tl2br w:val="nil"/>
              <w:tr2bl w:val="nil"/>
            </w:tcBorders>
            <w:vAlign w:val="center"/>
          </w:tcPr>
          <w:p>
            <w:pPr>
              <w:pStyle w:val="148"/>
              <w:snapToGrid w:val="0"/>
              <w:jc w:val="center"/>
              <w:rPr>
                <w:rFonts w:ascii="宋体" w:cs="宋体"/>
                <w:sz w:val="24"/>
                <w:szCs w:val="24"/>
              </w:rPr>
            </w:pPr>
            <w:r>
              <w:rPr>
                <w:rFonts w:ascii="宋体" w:cs="宋体"/>
                <w:sz w:val="24"/>
                <w:szCs w:val="24"/>
              </w:rPr>
              <w:t>1</w:t>
            </w:r>
          </w:p>
        </w:tc>
        <w:tc>
          <w:tcPr>
            <w:tcW w:w="1503" w:type="dxa"/>
            <w:tcBorders>
              <w:tl2br w:val="nil"/>
              <w:tr2bl w:val="nil"/>
            </w:tcBorders>
            <w:vAlign w:val="center"/>
          </w:tcPr>
          <w:p>
            <w:pPr>
              <w:pStyle w:val="148"/>
              <w:snapToGrid w:val="0"/>
              <w:jc w:val="center"/>
              <w:rPr>
                <w:rFonts w:ascii="宋体" w:cs="宋体"/>
                <w:sz w:val="24"/>
                <w:szCs w:val="24"/>
              </w:rPr>
            </w:pPr>
            <w:r>
              <w:rPr>
                <w:rFonts w:ascii="宋体" w:cs="宋体"/>
                <w:sz w:val="24"/>
                <w:szCs w:val="24"/>
              </w:rPr>
              <w:t>24</w:t>
            </w:r>
            <w:r>
              <w:rPr>
                <w:rFonts w:ascii="宋体" w:cs="宋体" w:hint="eastAsia"/>
                <w:sz w:val="24"/>
                <w:szCs w:val="24"/>
              </w:rPr>
              <w:t>.00</w:t>
            </w:r>
          </w:p>
        </w:tc>
        <w:tc>
          <w:tcPr>
            <w:tcW w:w="1985" w:type="dxa"/>
            <w:tcBorders>
              <w:tl2br w:val="nil"/>
              <w:tr2bl w:val="nil"/>
            </w:tcBorders>
            <w:vAlign w:val="center"/>
          </w:tcPr>
          <w:p>
            <w:pPr>
              <w:pStyle w:val="148"/>
              <w:snapToGrid w:val="0"/>
              <w:jc w:val="center"/>
              <w:rPr>
                <w:rFonts w:ascii="宋体" w:cs="宋体"/>
                <w:bCs/>
                <w:sz w:val="24"/>
              </w:rPr>
            </w:pPr>
            <w:r>
              <w:rPr>
                <w:rFonts w:ascii="宋体" w:cs="宋体" w:hint="eastAsia"/>
                <w:sz w:val="24"/>
                <w:szCs w:val="24"/>
              </w:rPr>
              <w:t>合同签订生效后20个日历日内完成供货和安装调试并交付采购人使用。</w:t>
            </w:r>
          </w:p>
        </w:tc>
        <w:tc>
          <w:tcPr>
            <w:tcW w:w="1276" w:type="dxa"/>
            <w:tcBorders>
              <w:tl2br w:val="nil"/>
              <w:tr2bl w:val="nil"/>
            </w:tcBorders>
            <w:vAlign w:val="center"/>
          </w:tcPr>
          <w:p>
            <w:pPr>
              <w:pStyle w:val="148"/>
              <w:jc w:val="center"/>
              <w:rPr>
                <w:rFonts w:ascii="宋体" w:cs="宋体"/>
                <w:sz w:val="24"/>
              </w:rPr>
            </w:pPr>
            <w:r>
              <w:rPr>
                <w:rFonts w:ascii="宋体" w:cs="宋体" w:hint="eastAsia"/>
                <w:sz w:val="24"/>
              </w:rPr>
              <w:t>工业</w:t>
            </w:r>
          </w:p>
        </w:tc>
      </w:tr>
    </w:tbl>
    <w:p>
      <w:pPr>
        <w:pStyle w:val="45"/>
        <w:spacing w:line="360" w:lineRule="auto"/>
        <w:rPr>
          <w:rFonts w:ascii="宋体" w:cs="宋体"/>
          <w:bCs/>
          <w:iCs/>
          <w:sz w:val="24"/>
          <w:szCs w:val="24"/>
        </w:rPr>
      </w:pPr>
      <w:r>
        <w:rPr>
          <w:rFonts w:ascii="宋体" w:cs="宋体"/>
          <w:bCs/>
          <w:iCs/>
          <w:sz w:val="24"/>
          <w:szCs w:val="24"/>
        </w:rPr>
        <w:t>（二）、技术参数</w:t>
      </w:r>
    </w:p>
    <w:p>
      <w:pPr>
        <w:pStyle w:val="192"/>
        <w:spacing w:line="360" w:lineRule="auto"/>
        <w:ind w:firstLineChars="200" w:firstLine="480"/>
        <w:rPr>
          <w:rFonts w:ascii="宋体" w:cs="宋体"/>
          <w:bCs/>
          <w:iCs/>
          <w:sz w:val="24"/>
          <w:szCs w:val="24"/>
        </w:rPr>
      </w:pPr>
      <w:r>
        <w:rPr>
          <w:rFonts w:ascii="宋体" w:cs="宋体" w:hint="eastAsia"/>
          <w:bCs/>
          <w:iCs/>
          <w:sz w:val="24"/>
          <w:szCs w:val="24"/>
        </w:rPr>
        <w:t>比选文件中标有“★”号条款为实质性条款，不允许负偏离（不满足要求）或未响应，供应商如有任何一条负偏离或未响应则导致投标无效；标有“▲”号条款为重要技术条款，作为评分项，若不响应或负偏离则相应被扣分。比选文件中“★”、“▲”条款要求提供证明材料的，按要求提供证明材料，否则，视为未响应。</w:t>
      </w:r>
    </w:p>
    <w:p>
      <w:pPr>
        <w:pStyle w:val="193"/>
        <w:spacing w:line="360" w:lineRule="auto"/>
        <w:rPr>
          <w:rFonts w:ascii="宋体" w:cs="宋体"/>
          <w:sz w:val="24"/>
          <w:szCs w:val="24"/>
        </w:rPr>
      </w:pPr>
      <w:r>
        <w:rPr>
          <w:rFonts w:ascii="宋体" w:cs="宋体" w:hint="eastAsia"/>
          <w:sz w:val="24"/>
          <w:szCs w:val="24"/>
        </w:rPr>
        <w:t>1、元素分析范围：</w:t>
      </w:r>
    </w:p>
    <w:p>
      <w:pPr>
        <w:pStyle w:val="193"/>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测量元素范围：测量元素至少包括【镁（Mg）到铀（U）】之间的元素。比如：镁、铝、硅、磷、硫、钾、钙、钒、铬、锰、铁、钴、镍、铜、锌、锆、铌、钌、铑、钯、银、锡、铪、钽、铼、锇、铱、铂、金、铅、钍、铀、钛、镓、锗、钼、铟、锑、碲、铋、钨、锑等41种常见元素和Sc、Y、La、Ce、Pr、Nd、Pm、Sm、Eu、Gd、Tb、Ho、Er、Tm、Yb、Lu 17种稀土元素。软件可自动计算稀土元素总量和氧化物成份（提供镓、锗、钼、铟、碲、铋、钨、等元素的检测曲线图）。</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2、探测器:高分辨SDD探测器、分辨率≤129eV。</w:t>
      </w:r>
    </w:p>
    <w:p>
      <w:pPr>
        <w:pStyle w:val="193"/>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3、检测对象：可检测固体、液体和粉末，固体样品，无需制样，对被测样品形状、大小无特殊要求。</w:t>
      </w:r>
    </w:p>
    <w:p>
      <w:pPr>
        <w:pStyle w:val="193"/>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4、测量时间：≤30s。</w:t>
      </w:r>
    </w:p>
    <w:p>
      <w:pPr>
        <w:pStyle w:val="206"/>
        <w:spacing w:line="360" w:lineRule="auto"/>
        <w:rPr>
          <w:rFonts w:ascii="宋体" w:cs="宋体"/>
          <w:sz w:val="24"/>
          <w:szCs w:val="24"/>
        </w:rPr>
      </w:pPr>
      <w:r>
        <w:rPr>
          <w:rFonts w:ascii="宋体" w:cs="宋体" w:hint="eastAsia"/>
          <w:sz w:val="24"/>
          <w:szCs w:val="24"/>
        </w:rPr>
        <w:t>5、工作环境</w:t>
      </w:r>
      <w:r>
        <w:rPr>
          <w:rFonts w:ascii="宋体" w:cs="宋体"/>
          <w:sz w:val="24"/>
          <w:szCs w:val="24"/>
        </w:rPr>
        <w:t>：</w:t>
      </w:r>
      <w:r>
        <w:rPr>
          <w:rFonts w:ascii="宋体" w:cs="宋体" w:hint="eastAsia"/>
          <w:sz w:val="24"/>
          <w:szCs w:val="24"/>
        </w:rPr>
        <w:t>工作温度：包含-10℃~+</w:t>
      </w:r>
      <w:r>
        <w:rPr>
          <w:rFonts w:ascii="宋体" w:cs="宋体"/>
          <w:sz w:val="24"/>
          <w:szCs w:val="24"/>
        </w:rPr>
        <w:t>50</w:t>
      </w:r>
      <w:r>
        <w:rPr>
          <w:rFonts w:ascii="宋体" w:cs="宋体" w:hint="eastAsia"/>
          <w:sz w:val="24"/>
          <w:szCs w:val="24"/>
        </w:rPr>
        <w:t>℃</w:t>
      </w:r>
      <w:r>
        <w:rPr>
          <w:rFonts w:ascii="宋体" w:cs="宋体"/>
          <w:sz w:val="24"/>
          <w:szCs w:val="24"/>
        </w:rPr>
        <w:t>，</w:t>
      </w:r>
      <w:r>
        <w:rPr>
          <w:rFonts w:ascii="宋体" w:cs="宋体" w:hint="eastAsia"/>
          <w:sz w:val="24"/>
          <w:szCs w:val="24"/>
        </w:rPr>
        <w:t>工作湿度：相对湿度＜95%。</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6、电池：电池一次充电可连续工作</w:t>
      </w:r>
      <w:r>
        <w:rPr>
          <w:rFonts w:ascii="宋体" w:cs="宋体"/>
          <w:sz w:val="24"/>
          <w:szCs w:val="24"/>
        </w:rPr>
        <w:t>8</w:t>
      </w:r>
      <w:r>
        <w:rPr>
          <w:rFonts w:ascii="宋体" w:cs="宋体" w:hint="eastAsia"/>
          <w:sz w:val="24"/>
          <w:szCs w:val="24"/>
        </w:rPr>
        <w:t>小时以上。</w:t>
      </w:r>
    </w:p>
    <w:p>
      <w:pPr>
        <w:pStyle w:val="194"/>
        <w:spacing w:line="360" w:lineRule="auto"/>
        <w:rPr>
          <w:rFonts w:ascii="宋体" w:cs="宋体"/>
          <w:sz w:val="24"/>
          <w:szCs w:val="24"/>
        </w:rPr>
      </w:pPr>
      <w:r>
        <w:rPr>
          <w:rFonts w:ascii="宋体" w:cs="宋体" w:hint="eastAsia"/>
          <w:sz w:val="24"/>
          <w:szCs w:val="24"/>
        </w:rPr>
        <w:t>7、数据传输及处理：</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7.1支持蓝牙、WiFi传输数据，可远程对仪器进行设置及检修数据。</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7.2 储存数据及图谱超过</w:t>
      </w:r>
      <w:r>
        <w:rPr>
          <w:rFonts w:ascii="宋体" w:cs="宋体"/>
          <w:sz w:val="24"/>
          <w:szCs w:val="24"/>
        </w:rPr>
        <w:t>5</w:t>
      </w:r>
      <w:r>
        <w:rPr>
          <w:rFonts w:ascii="宋体" w:cs="宋体" w:hint="eastAsia"/>
          <w:sz w:val="24"/>
          <w:szCs w:val="24"/>
        </w:rPr>
        <w:t>000个（含）。</w:t>
      </w:r>
    </w:p>
    <w:p>
      <w:pPr>
        <w:pStyle w:val="194"/>
        <w:spacing w:line="360" w:lineRule="auto"/>
        <w:rPr>
          <w:rFonts w:ascii="宋体" w:cs="宋体"/>
          <w:sz w:val="24"/>
          <w:szCs w:val="24"/>
        </w:rPr>
      </w:pPr>
      <w:r>
        <w:rPr>
          <w:rFonts w:ascii="宋体" w:cs="宋体" w:hint="eastAsia"/>
          <w:sz w:val="24"/>
          <w:szCs w:val="24"/>
        </w:rPr>
        <w:t>7.3云端服务功能:设备有配套使用可同步控制的移动端APP服务，移动端 APP服务具有数据累积汇总,标签信息卡片化管理；可同步录入标签信息、测试仪器，返回实时数据等。</w:t>
      </w:r>
    </w:p>
    <w:p>
      <w:pPr>
        <w:pStyle w:val="194"/>
        <w:spacing w:line="360" w:lineRule="auto"/>
        <w:rPr>
          <w:rFonts w:ascii="宋体" w:cs="宋体"/>
          <w:sz w:val="24"/>
          <w:szCs w:val="24"/>
        </w:rPr>
      </w:pPr>
      <w:r>
        <w:rPr>
          <w:rFonts w:ascii="宋体" w:cs="宋体" w:hint="eastAsia"/>
          <w:sz w:val="24"/>
          <w:szCs w:val="24"/>
        </w:rPr>
        <w:t>8、安全性：</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8.1设备周围剂量当量率小于0.5μSv/h(含检测现场本底)。基于国家标准《微剂量X射线安全检查设备》(GB15208.1-2018)5.2.2周围计量当量率的要求：开放式设备需要划定监督区或放在符合辐射防护要求位置，工作人员位置的周围剂量当量率应小于或等于0.5μSv/h。（响应文件中提供投标产品彩页宣传资料或相应技术参数的厂家技术白皮书或使用说明书或质量认可材料或第三方机构出具的检验报告复印件或其他可证明具备相关功能的材料，加盖供应商公章）</w:t>
      </w:r>
    </w:p>
    <w:p>
      <w:pPr>
        <w:pStyle w:val="194"/>
        <w:spacing w:line="360" w:lineRule="auto"/>
        <w:rPr>
          <w:rFonts w:ascii="宋体" w:cs="宋体"/>
          <w:sz w:val="24"/>
          <w:szCs w:val="24"/>
        </w:rPr>
      </w:pPr>
      <w:r>
        <w:rPr>
          <w:rFonts w:ascii="宋体" w:cs="宋体" w:hint="eastAsia"/>
          <w:sz w:val="24"/>
          <w:szCs w:val="24"/>
        </w:rPr>
        <w:t>8.2设备配备有安全系统，测试窗口无样品时，自动关闭X射线。</w:t>
      </w:r>
    </w:p>
    <w:p>
      <w:pPr>
        <w:pStyle w:val="194"/>
        <w:spacing w:line="360" w:lineRule="auto"/>
        <w:rPr>
          <w:rFonts w:ascii="宋体" w:cs="宋体"/>
          <w:sz w:val="24"/>
          <w:szCs w:val="24"/>
        </w:rPr>
      </w:pPr>
      <w:r>
        <w:rPr>
          <w:rFonts w:ascii="宋体" w:cs="宋体" w:hint="eastAsia"/>
          <w:sz w:val="24"/>
          <w:szCs w:val="24"/>
        </w:rPr>
        <w:t>9、系统要求：(需提供软件数据截图)</w:t>
      </w:r>
    </w:p>
    <w:p>
      <w:pPr>
        <w:pStyle w:val="207"/>
        <w:spacing w:line="360" w:lineRule="auto"/>
        <w:rPr>
          <w:rFonts w:ascii="宋体" w:cs="宋体"/>
          <w:sz w:val="24"/>
          <w:szCs w:val="24"/>
        </w:rPr>
      </w:pPr>
      <w:r>
        <w:rPr>
          <w:rFonts w:ascii="宋体" w:cs="宋体" w:hint="eastAsia"/>
          <w:sz w:val="24"/>
          <w:szCs w:val="24"/>
        </w:rPr>
        <w:t>9.1同时支持定性分析、定量分析。检出限：ppm 级别。</w:t>
      </w:r>
    </w:p>
    <w:p>
      <w:pPr>
        <w:pStyle w:val="194"/>
        <w:spacing w:line="360" w:lineRule="auto"/>
        <w:rPr>
          <w:rFonts w:ascii="宋体" w:cs="宋体"/>
          <w:sz w:val="24"/>
          <w:szCs w:val="24"/>
        </w:rPr>
      </w:pPr>
      <w:r>
        <w:rPr>
          <w:rFonts w:ascii="宋体" w:cs="宋体" w:hint="eastAsia"/>
          <w:sz w:val="24"/>
          <w:szCs w:val="24"/>
        </w:rPr>
        <w:t>9.2无需切换模式即可对所有两用物项金属和稀土元素进行检测。</w:t>
      </w:r>
    </w:p>
    <w:p>
      <w:pPr>
        <w:pStyle w:val="194"/>
        <w:spacing w:line="360" w:lineRule="auto"/>
        <w:rPr>
          <w:rFonts w:ascii="宋体" w:cs="宋体"/>
          <w:sz w:val="24"/>
          <w:szCs w:val="24"/>
        </w:rPr>
      </w:pPr>
      <w:r>
        <w:rPr>
          <w:rFonts w:ascii="宋体" w:cs="宋体" w:hint="eastAsia"/>
          <w:sz w:val="24"/>
          <w:szCs w:val="24"/>
        </w:rPr>
        <w:t>9.3 界面测试结果清晰呈现元素名称、对应元素符号、具体含量数值以及测量误差范围。</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9.4操作界面支持中文。</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9.5 检测结果能突出显示，方便快速识别管制元素，进行预警提示，提升执法效率。</w:t>
      </w:r>
    </w:p>
    <w:p>
      <w:pPr>
        <w:pStyle w:val="194"/>
        <w:spacing w:line="360" w:lineRule="auto"/>
        <w:rPr>
          <w:rFonts w:ascii="宋体" w:cs="宋体"/>
          <w:sz w:val="24"/>
          <w:szCs w:val="24"/>
        </w:rPr>
      </w:pPr>
      <w:r>
        <w:rPr>
          <w:rFonts w:ascii="宋体" w:cs="宋体" w:hint="eastAsia"/>
          <w:sz w:val="24"/>
          <w:szCs w:val="24"/>
        </w:rPr>
        <w:t>9.6具有算法校正功能。</w:t>
      </w:r>
    </w:p>
    <w:p>
      <w:pPr>
        <w:pStyle w:val="194"/>
        <w:spacing w:line="360" w:lineRule="auto"/>
        <w:rPr>
          <w:rFonts w:ascii="宋体" w:cs="宋体"/>
          <w:sz w:val="24"/>
          <w:szCs w:val="24"/>
        </w:rPr>
      </w:pPr>
      <w:r>
        <w:rPr>
          <w:rFonts w:ascii="宋体" w:cs="宋体" w:hint="eastAsia"/>
          <w:sz w:val="24"/>
          <w:szCs w:val="24"/>
        </w:rPr>
        <w:t>10、硬件要求</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1</w:t>
      </w:r>
      <w:r>
        <w:rPr>
          <w:rFonts w:ascii="宋体" w:cs="宋体"/>
          <w:sz w:val="24"/>
          <w:szCs w:val="24"/>
        </w:rPr>
        <w:t>0</w:t>
      </w:r>
      <w:r>
        <w:rPr>
          <w:rFonts w:ascii="宋体" w:cs="宋体" w:hint="eastAsia"/>
          <w:sz w:val="24"/>
          <w:szCs w:val="24"/>
        </w:rPr>
        <w:t>.1仪器为手持式仪器，方便携带，主机重量≤2kg。</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1</w:t>
      </w:r>
      <w:r>
        <w:rPr>
          <w:rFonts w:ascii="宋体" w:cs="宋体"/>
          <w:sz w:val="24"/>
          <w:szCs w:val="24"/>
        </w:rPr>
        <w:t>0</w:t>
      </w:r>
      <w:r>
        <w:rPr>
          <w:rFonts w:ascii="宋体" w:cs="宋体" w:hint="eastAsia"/>
          <w:sz w:val="24"/>
          <w:szCs w:val="24"/>
        </w:rPr>
        <w:t>.2 操作者能够远距离启动检测，有效避免直接接触危险或难以触及的样品。</w:t>
      </w:r>
    </w:p>
    <w:p>
      <w:pPr>
        <w:pStyle w:val="194"/>
        <w:spacing w:line="360" w:lineRule="auto"/>
        <w:rPr>
          <w:rFonts w:ascii="宋体" w:cs="宋体"/>
          <w:sz w:val="24"/>
          <w:szCs w:val="24"/>
        </w:rPr>
      </w:pPr>
      <w:r>
        <w:rPr>
          <w:rFonts w:ascii="宋体" w:cs="宋体" w:hint="eastAsia"/>
          <w:sz w:val="24"/>
          <w:szCs w:val="24"/>
        </w:rPr>
        <w:t>1</w:t>
      </w:r>
      <w:r>
        <w:rPr>
          <w:rFonts w:ascii="宋体" w:cs="宋体"/>
          <w:sz w:val="24"/>
          <w:szCs w:val="24"/>
        </w:rPr>
        <w:t>0</w:t>
      </w:r>
      <w:r>
        <w:rPr>
          <w:rFonts w:ascii="宋体" w:cs="宋体" w:hint="eastAsia"/>
          <w:sz w:val="24"/>
          <w:szCs w:val="24"/>
        </w:rPr>
        <w:t>.3仪器有良好的散热性，仪器自带散热装置提高仪器散热性能，无需频繁等待探测器冷却。</w:t>
      </w:r>
    </w:p>
    <w:p>
      <w:pPr>
        <w:pStyle w:val="194"/>
        <w:spacing w:line="360" w:lineRule="auto"/>
        <w:rPr>
          <w:rFonts w:ascii="宋体" w:cs="宋体"/>
          <w:sz w:val="24"/>
          <w:szCs w:val="24"/>
        </w:rPr>
      </w:pPr>
      <w:r>
        <w:rPr>
          <w:rFonts w:ascii="宋体" w:cs="宋体" w:hint="eastAsia"/>
          <w:sz w:val="24"/>
          <w:szCs w:val="24"/>
        </w:rPr>
        <w:t>1</w:t>
      </w:r>
      <w:r>
        <w:rPr>
          <w:rFonts w:ascii="宋体" w:cs="宋体"/>
          <w:sz w:val="24"/>
          <w:szCs w:val="24"/>
        </w:rPr>
        <w:t>1</w:t>
      </w:r>
      <w:r>
        <w:rPr>
          <w:rFonts w:ascii="宋体" w:cs="宋体" w:hint="eastAsia"/>
          <w:sz w:val="24"/>
          <w:szCs w:val="24"/>
        </w:rPr>
        <w:t>、售后服务：</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1</w:t>
      </w:r>
      <w:r>
        <w:rPr>
          <w:rFonts w:ascii="宋体" w:cs="宋体"/>
          <w:sz w:val="24"/>
          <w:szCs w:val="24"/>
        </w:rPr>
        <w:t>1</w:t>
      </w:r>
      <w:r>
        <w:rPr>
          <w:rFonts w:ascii="宋体" w:cs="宋体" w:hint="eastAsia"/>
          <w:sz w:val="24"/>
          <w:szCs w:val="24"/>
        </w:rPr>
        <w:t>.1质保期3年，从验收合格之日起计算。</w:t>
      </w:r>
    </w:p>
    <w:p>
      <w:pPr>
        <w:pStyle w:val="194"/>
        <w:spacing w:line="360" w:lineRule="auto"/>
        <w:rPr>
          <w:rFonts w:ascii="宋体" w:cs="宋体"/>
          <w:sz w:val="24"/>
          <w:szCs w:val="24"/>
        </w:rPr>
      </w:pPr>
      <w:r>
        <w:rPr>
          <w:rFonts w:ascii="宋体" w:cs="宋体" w:hint="eastAsia"/>
          <w:bCs/>
          <w:iCs/>
          <w:sz w:val="24"/>
          <w:szCs w:val="24"/>
        </w:rPr>
        <w:t>▲</w:t>
      </w:r>
      <w:r>
        <w:rPr>
          <w:rFonts w:ascii="宋体" w:cs="宋体" w:hint="eastAsia"/>
          <w:sz w:val="24"/>
          <w:szCs w:val="24"/>
        </w:rPr>
        <w:t>1</w:t>
      </w:r>
      <w:r>
        <w:rPr>
          <w:rFonts w:ascii="宋体" w:cs="宋体"/>
          <w:sz w:val="24"/>
          <w:szCs w:val="24"/>
        </w:rPr>
        <w:t>1</w:t>
      </w:r>
      <w:r>
        <w:rPr>
          <w:rFonts w:ascii="宋体" w:cs="宋体" w:hint="eastAsia"/>
          <w:sz w:val="24"/>
          <w:szCs w:val="24"/>
        </w:rPr>
        <w:t>.2 质保期内需提供软件升级，若后续因国家政策变动，需要扩大对两用物项和稀土元素的管控范围，在硬件系统支持的情况下，中标人需提供免费软件升级。</w:t>
      </w:r>
    </w:p>
    <w:p>
      <w:pPr>
        <w:pStyle w:val="195"/>
        <w:rPr>
          <w:rFonts w:ascii="宋体" w:cs="宋体"/>
          <w:sz w:val="24"/>
          <w:szCs w:val="24"/>
        </w:rPr>
      </w:pPr>
      <w:r>
        <w:rPr>
          <w:rFonts w:ascii="宋体" w:cs="宋体" w:hint="eastAsia"/>
          <w:bCs/>
          <w:iCs/>
          <w:sz w:val="24"/>
          <w:szCs w:val="24"/>
        </w:rPr>
        <w:t>▲</w:t>
      </w:r>
      <w:r>
        <w:rPr>
          <w:rFonts w:ascii="宋体" w:cs="宋体" w:hint="eastAsia"/>
          <w:sz w:val="24"/>
          <w:szCs w:val="24"/>
        </w:rPr>
        <w:t>1</w:t>
      </w:r>
      <w:r>
        <w:rPr>
          <w:rFonts w:ascii="宋体" w:cs="宋体"/>
          <w:sz w:val="24"/>
          <w:szCs w:val="24"/>
        </w:rPr>
        <w:t>1</w:t>
      </w:r>
      <w:r>
        <w:rPr>
          <w:rFonts w:ascii="宋体" w:cs="宋体" w:hint="eastAsia"/>
          <w:sz w:val="24"/>
          <w:szCs w:val="24"/>
        </w:rPr>
        <w:t>.3 质保期内，如设备出现问题需要维修，在维修期间应提供备用设备供海关使用。</w:t>
      </w:r>
    </w:p>
    <w:p>
      <w:pPr>
        <w:pStyle w:val="151"/>
        <w:spacing w:line="360" w:lineRule="auto"/>
        <w:rPr>
          <w:rFonts w:ascii="宋体" w:cs="宋体"/>
          <w:b/>
          <w:iCs/>
          <w:sz w:val="24"/>
          <w:szCs w:val="24"/>
        </w:rPr>
      </w:pPr>
      <w:r>
        <w:rPr>
          <w:rFonts w:ascii="宋体" w:cs="宋体" w:hint="eastAsia"/>
          <w:b/>
          <w:iCs/>
          <w:sz w:val="24"/>
          <w:szCs w:val="24"/>
        </w:rPr>
        <w:t>三、商务要求：</w:t>
      </w:r>
    </w:p>
    <w:p>
      <w:pPr>
        <w:pStyle w:val="151"/>
        <w:tabs>
          <w:tab w:val="left" w:pos="860"/>
        </w:tabs>
        <w:spacing w:line="360" w:lineRule="auto"/>
        <w:rPr>
          <w:rFonts w:ascii="宋体" w:cs="宋体"/>
          <w:b/>
          <w:bCs/>
          <w:kern w:val="2"/>
          <w:sz w:val="24"/>
          <w:szCs w:val="24"/>
        </w:rPr>
      </w:pPr>
      <w:bookmarkStart w:id="89" w:name="_Toc502265989"/>
      <w:r>
        <w:rPr>
          <w:rFonts w:ascii="宋体" w:cs="宋体" w:hint="eastAsia"/>
          <w:b/>
          <w:bCs/>
          <w:kern w:val="2"/>
          <w:sz w:val="24"/>
          <w:szCs w:val="24"/>
        </w:rPr>
        <w:t>（一）</w:t>
      </w:r>
      <w:bookmarkEnd w:id="89"/>
      <w:r>
        <w:rPr>
          <w:rFonts w:ascii="宋体" w:cs="宋体" w:hint="eastAsia"/>
          <w:b/>
          <w:bCs/>
          <w:kern w:val="2"/>
          <w:sz w:val="24"/>
          <w:szCs w:val="24"/>
        </w:rPr>
        <w:t>安装及培训要求</w:t>
      </w:r>
    </w:p>
    <w:p>
      <w:pPr>
        <w:pStyle w:val="151"/>
        <w:spacing w:line="360" w:lineRule="auto"/>
        <w:rPr>
          <w:rFonts w:ascii="宋体" w:cs="宋体"/>
          <w:sz w:val="24"/>
          <w:szCs w:val="24"/>
        </w:rPr>
      </w:pPr>
      <w:r>
        <w:rPr>
          <w:rFonts w:ascii="宋体" w:cs="宋体" w:hint="eastAsia"/>
          <w:sz w:val="24"/>
          <w:szCs w:val="24"/>
        </w:rPr>
        <w:t>1、中标人负责将设备运至采购人指定的地点，免费负责安装，调试。中标价应包含产品的制造、材料费（主材及辅材）、运输、安装、验收、保修、税收、所有手续费等直至验收合格交付采购人使用的所有相关费用。货到后，中标人派专业技术人员到现成安装调试。</w:t>
      </w:r>
    </w:p>
    <w:p>
      <w:pPr>
        <w:pStyle w:val="151"/>
        <w:spacing w:line="360" w:lineRule="auto"/>
        <w:rPr>
          <w:rFonts w:ascii="宋体" w:cs="宋体"/>
          <w:sz w:val="24"/>
          <w:szCs w:val="24"/>
        </w:rPr>
      </w:pPr>
      <w:r>
        <w:rPr>
          <w:rFonts w:ascii="宋体" w:cs="宋体" w:hint="eastAsia"/>
          <w:sz w:val="24"/>
          <w:szCs w:val="24"/>
        </w:rPr>
        <w:t>2、现场培训：中标人应提供仪器基本操作和维护知识进行免费的培训，保证相关人员能独立进行基本操作和数据处理。如有用户有因人员流动，需要进行培训，中标人应对用户新增实验人员进行免费现场培训。</w:t>
      </w:r>
    </w:p>
    <w:p>
      <w:pPr>
        <w:pStyle w:val="151"/>
        <w:tabs>
          <w:tab w:val="left" w:pos="860"/>
        </w:tabs>
        <w:spacing w:line="360" w:lineRule="auto"/>
        <w:rPr>
          <w:rFonts w:ascii="宋体" w:cs="宋体"/>
          <w:b/>
          <w:bCs/>
          <w:kern w:val="2"/>
          <w:sz w:val="24"/>
          <w:szCs w:val="24"/>
        </w:rPr>
      </w:pPr>
      <w:r>
        <w:rPr>
          <w:rFonts w:ascii="宋体" w:cs="宋体" w:hint="eastAsia"/>
          <w:b/>
          <w:bCs/>
          <w:kern w:val="2"/>
          <w:sz w:val="24"/>
          <w:szCs w:val="24"/>
        </w:rPr>
        <w:t>（二）售后服务</w:t>
      </w:r>
    </w:p>
    <w:p>
      <w:pPr>
        <w:pStyle w:val="151"/>
        <w:spacing w:line="360" w:lineRule="auto"/>
        <w:rPr>
          <w:rFonts w:ascii="宋体" w:cs="宋体"/>
          <w:sz w:val="24"/>
          <w:szCs w:val="24"/>
        </w:rPr>
      </w:pPr>
      <w:r>
        <w:rPr>
          <w:rFonts w:ascii="宋体" w:cs="宋体" w:hint="eastAsia"/>
          <w:sz w:val="24"/>
          <w:szCs w:val="24"/>
        </w:rPr>
        <w:t>1、质保期内：质保期内如设备出现故障，在合同约定时间内，</w:t>
      </w:r>
      <w:r>
        <w:rPr>
          <w:rFonts w:ascii="宋体" w:cs="宋体"/>
          <w:sz w:val="24"/>
          <w:szCs w:val="24"/>
        </w:rPr>
        <w:t>中标人</w:t>
      </w:r>
      <w:r>
        <w:rPr>
          <w:rFonts w:ascii="宋体" w:cs="宋体" w:hint="eastAsia"/>
          <w:sz w:val="24"/>
          <w:szCs w:val="24"/>
        </w:rPr>
        <w:t>免费提供原厂维修和更换配件服务。</w:t>
      </w:r>
      <w:r>
        <w:rPr>
          <w:rFonts w:ascii="宋体" w:cs="宋体"/>
          <w:sz w:val="24"/>
          <w:szCs w:val="24"/>
        </w:rPr>
        <w:t>中标人</w:t>
      </w:r>
      <w:r>
        <w:rPr>
          <w:rFonts w:ascii="宋体" w:cs="宋体" w:hint="eastAsia"/>
          <w:sz w:val="24"/>
          <w:szCs w:val="24"/>
        </w:rPr>
        <w:t>应提供7*24小时的技术支持与售后服务，提供专线电话支持服务，出现故障时，需在24小时作出相应的问题答复；如电话不能解决问题，维修人员需在2个工作日内到达现场。</w:t>
      </w:r>
    </w:p>
    <w:p>
      <w:pPr>
        <w:pStyle w:val="151"/>
        <w:spacing w:line="360" w:lineRule="auto"/>
        <w:rPr>
          <w:rFonts w:ascii="宋体" w:cs="宋体"/>
          <w:sz w:val="24"/>
          <w:szCs w:val="24"/>
        </w:rPr>
      </w:pPr>
      <w:r>
        <w:rPr>
          <w:rFonts w:ascii="宋体" w:cs="宋体" w:hint="eastAsia"/>
          <w:sz w:val="24"/>
          <w:szCs w:val="24"/>
        </w:rPr>
        <w:t>2、质保期外：质保期满后提供有偿维修服务，接到故障通知后2个工作日到现场解决故障。</w:t>
      </w:r>
    </w:p>
    <w:p>
      <w:pPr>
        <w:pStyle w:val="151"/>
        <w:spacing w:line="360" w:lineRule="auto"/>
        <w:rPr>
          <w:rFonts w:ascii="宋体" w:cs="宋体"/>
          <w:sz w:val="24"/>
          <w:szCs w:val="24"/>
        </w:rPr>
      </w:pPr>
      <w:r>
        <w:rPr>
          <w:rFonts w:ascii="宋体" w:cs="宋体" w:hint="eastAsia"/>
          <w:b/>
          <w:bCs/>
          <w:kern w:val="2"/>
          <w:sz w:val="24"/>
          <w:szCs w:val="24"/>
        </w:rPr>
        <w:t>（三）验收</w:t>
      </w:r>
    </w:p>
    <w:p>
      <w:pPr>
        <w:pStyle w:val="151"/>
        <w:spacing w:line="360" w:lineRule="auto"/>
        <w:rPr>
          <w:rFonts w:ascii="宋体" w:cs="宋体"/>
          <w:sz w:val="24"/>
          <w:szCs w:val="24"/>
        </w:rPr>
      </w:pPr>
      <w:r>
        <w:rPr>
          <w:rFonts w:ascii="宋体" w:cs="宋体" w:hint="eastAsia"/>
          <w:sz w:val="24"/>
          <w:szCs w:val="24"/>
        </w:rPr>
        <w:t>（1）如需要，中标人须提供产品的原厂技术文件以及验收要求的校准文件或计量证书。属于中华人民共和国强制检定计量器具，中标人须负责提供法定计量证书。所需费用由中标人承担。</w:t>
      </w:r>
    </w:p>
    <w:p>
      <w:pPr>
        <w:pStyle w:val="151"/>
        <w:spacing w:line="360" w:lineRule="auto"/>
        <w:rPr>
          <w:rFonts w:ascii="宋体" w:cs="宋体"/>
          <w:sz w:val="24"/>
          <w:szCs w:val="24"/>
        </w:rPr>
      </w:pPr>
      <w:r>
        <w:rPr>
          <w:rFonts w:ascii="宋体" w:cs="宋体" w:hint="eastAsia"/>
          <w:sz w:val="24"/>
          <w:szCs w:val="24"/>
        </w:rPr>
        <w:t>（2）中标人设备供货、安装施工、调试、工程验收、货物运输、售后服务等均应符合国家相关法律、法规以及国家标准、相关行业标准。中标人提供设备的制造标准、安装标准及技术规范等有关资料必须符合国家相应的有关标准、规范要求。</w:t>
      </w:r>
    </w:p>
    <w:p>
      <w:pPr>
        <w:pStyle w:val="151"/>
        <w:spacing w:line="360" w:lineRule="auto"/>
        <w:rPr>
          <w:rFonts w:ascii="宋体" w:cs="宋体"/>
          <w:sz w:val="24"/>
          <w:szCs w:val="24"/>
        </w:rPr>
      </w:pPr>
      <w:r>
        <w:rPr>
          <w:rFonts w:ascii="宋体" w:cs="宋体" w:hint="eastAsia"/>
          <w:sz w:val="24"/>
          <w:szCs w:val="24"/>
        </w:rPr>
        <w:t>（3）中标人应向采购人提供完整的设备技术资料、货物制造商的出厂检验报告、合格证书、产品保证书、认证书、及政府许可证明、说明书等，保证产品和安装材料是新生产、未经过使用的原装原厂正品。如在交付使用前发生设备损坏和不合格，采购人有权要求退货，因此造成的一切损失由供应商承担。</w:t>
      </w:r>
    </w:p>
    <w:p>
      <w:pPr>
        <w:pStyle w:val="151"/>
        <w:spacing w:line="360" w:lineRule="auto"/>
        <w:rPr>
          <w:rFonts w:ascii="宋体" w:cs="宋体"/>
          <w:sz w:val="24"/>
          <w:szCs w:val="24"/>
        </w:rPr>
      </w:pPr>
      <w:r>
        <w:rPr>
          <w:rFonts w:ascii="宋体" w:cs="宋体" w:hint="eastAsia"/>
          <w:sz w:val="24"/>
          <w:szCs w:val="24"/>
        </w:rPr>
        <w:t>（4）中标人根据合同要求进行系统安装、调试后，由采购人进行使用性能方面的验收，确保在使用过程内具有满意的性能。如质量不符合要求，供应商应无条件及时更换并不得以任何原因拖延。</w:t>
      </w:r>
    </w:p>
    <w:p>
      <w:pPr>
        <w:pStyle w:val="151"/>
        <w:spacing w:line="360" w:lineRule="auto"/>
        <w:rPr>
          <w:rFonts w:ascii="宋体" w:cs="宋体"/>
          <w:sz w:val="24"/>
          <w:szCs w:val="24"/>
        </w:rPr>
      </w:pPr>
      <w:r>
        <w:rPr>
          <w:rFonts w:ascii="宋体" w:cs="宋体" w:hint="eastAsia"/>
          <w:sz w:val="24"/>
          <w:szCs w:val="24"/>
        </w:rPr>
        <w:t>（5）采购人根据比选文件、中标人的竞标文件、合同、制造厂商的产品验收标准及中华人民共和国有关标准进行验收。采购人有权委托中国具权威资质机构对设备的灵敏度、测量精度等技术性能进行验收。因中标人所提供的产品未达到比选文件中技术性能指标的，一律拒收，不予付款，采购人有权因此终止合同的执行，中标人将自行承担所有经济损失；同时，采购人将保留向中标人因设备延迟到位而造成对口岸检验业务的不良影响追索相应“违约”责任的权利。</w:t>
      </w:r>
    </w:p>
    <w:p>
      <w:pPr>
        <w:pStyle w:val="151"/>
        <w:spacing w:line="360" w:lineRule="auto"/>
        <w:rPr>
          <w:rFonts w:ascii="宋体" w:cs="宋体"/>
          <w:sz w:val="24"/>
          <w:szCs w:val="24"/>
        </w:rPr>
      </w:pPr>
      <w:r>
        <w:rPr>
          <w:rFonts w:ascii="宋体" w:cs="宋体" w:hint="eastAsia"/>
          <w:b/>
          <w:bCs/>
          <w:sz w:val="24"/>
          <w:szCs w:val="24"/>
        </w:rPr>
        <w:t>（四）交货地点：</w:t>
      </w:r>
      <w:r>
        <w:rPr>
          <w:rFonts w:ascii="宋体" w:cs="宋体"/>
          <w:sz w:val="24"/>
          <w:szCs w:val="24"/>
        </w:rPr>
        <w:t>重庆江北机场T3航站楼</w:t>
      </w:r>
    </w:p>
    <w:p>
      <w:pPr>
        <w:pStyle w:val="148"/>
        <w:spacing w:line="360" w:lineRule="auto"/>
        <w:rPr>
          <w:rFonts w:ascii="宋体" w:cs="宋体"/>
          <w:bCs/>
          <w:iCs/>
          <w:sz w:val="24"/>
          <w:szCs w:val="24"/>
        </w:rPr>
      </w:pPr>
    </w:p>
    <w:p>
      <w:pPr>
        <w:widowControl/>
        <w:jc w:val="left"/>
        <w:rPr>
          <w:rFonts w:ascii="宋体"/>
          <w:b/>
          <w:kern w:val="0"/>
          <w:sz w:val="44"/>
          <w:szCs w:val="20"/>
        </w:rPr>
      </w:pPr>
      <w:r>
        <w:rPr>
          <w:rFonts w:ascii="宋体"/>
          <w:b/>
          <w:sz w:val="44"/>
        </w:rPr>
        <w:br w:type="page"/>
      </w:r>
    </w:p>
    <w:p>
      <w:pPr>
        <w:pStyle w:val="1"/>
        <w:tabs>
          <w:tab w:val="left" w:pos="432"/>
        </w:tabs>
        <w:ind w:left="0" w:firstLine="0"/>
        <w:rPr>
          <w:rFonts w:ascii="宋体" w:eastAsia="宋体"/>
          <w:b/>
          <w:sz w:val="44"/>
        </w:rPr>
      </w:pPr>
      <w:r>
        <w:rPr>
          <w:rFonts w:ascii="宋体" w:eastAsia="宋体" w:hint="eastAsia"/>
          <w:b/>
          <w:sz w:val="44"/>
        </w:rPr>
        <w:t>第四章</w:t>
      </w:r>
      <w:r>
        <w:rPr>
          <w:rFonts w:ascii="宋体" w:eastAsia="宋体"/>
          <w:b/>
          <w:sz w:val="44"/>
        </w:rPr>
        <w:t xml:space="preserve"> </w:t>
      </w:r>
      <w:r>
        <w:rPr>
          <w:rFonts w:ascii="宋体" w:eastAsia="宋体" w:hint="eastAsia"/>
          <w:b/>
          <w:sz w:val="44"/>
        </w:rPr>
        <w:t>比选方法</w:t>
      </w:r>
      <w:bookmarkEnd w:id="88"/>
    </w:p>
    <w:p>
      <w:pPr>
        <w:spacing w:line="360" w:lineRule="auto"/>
        <w:ind w:firstLineChars="200" w:firstLine="480"/>
        <w:rPr>
          <w:rFonts w:ascii="宋体"/>
          <w:b/>
          <w:sz w:val="24"/>
        </w:rPr>
      </w:pPr>
    </w:p>
    <w:p>
      <w:pPr>
        <w:pStyle w:val="96"/>
        <w:spacing w:line="360" w:lineRule="auto"/>
        <w:rPr>
          <w:rFonts w:ascii="宋体"/>
          <w:b/>
          <w:sz w:val="24"/>
        </w:rPr>
      </w:pPr>
      <w:r>
        <w:rPr>
          <w:rFonts w:ascii="宋体" w:hint="eastAsia"/>
          <w:b/>
          <w:sz w:val="24"/>
        </w:rPr>
        <w:t>一、比选原则</w:t>
      </w:r>
    </w:p>
    <w:p>
      <w:pPr>
        <w:pStyle w:val="96"/>
        <w:spacing w:line="360" w:lineRule="auto"/>
        <w:rPr>
          <w:rFonts w:ascii="宋体"/>
          <w:sz w:val="24"/>
        </w:rPr>
      </w:pPr>
      <w:r>
        <w:rPr>
          <w:rFonts w:ascii="宋体" w:hint="eastAsia"/>
          <w:sz w:val="24"/>
        </w:rPr>
        <w:t>本项目比选遵循公平、公正、择优的原则进行</w:t>
      </w:r>
    </w:p>
    <w:p>
      <w:pPr>
        <w:pStyle w:val="96"/>
        <w:spacing w:line="360" w:lineRule="auto"/>
        <w:rPr>
          <w:rFonts w:ascii="宋体"/>
          <w:b/>
          <w:sz w:val="24"/>
        </w:rPr>
      </w:pPr>
      <w:r>
        <w:rPr>
          <w:rFonts w:ascii="宋体" w:hint="eastAsia"/>
          <w:b/>
          <w:sz w:val="24"/>
        </w:rPr>
        <w:t>二、比选方法定义</w:t>
      </w:r>
    </w:p>
    <w:p>
      <w:pPr>
        <w:pStyle w:val="96"/>
        <w:spacing w:line="360" w:lineRule="auto"/>
        <w:rPr>
          <w:rFonts w:ascii="宋体"/>
          <w:sz w:val="24"/>
        </w:rPr>
      </w:pPr>
      <w:r>
        <w:rPr>
          <w:rFonts w:ascii="宋体" w:hint="eastAsia"/>
          <w:sz w:val="24"/>
        </w:rPr>
        <w:t>本项目采用综合评分法进行比选。</w:t>
      </w:r>
    </w:p>
    <w:p>
      <w:pPr>
        <w:pStyle w:val="96"/>
        <w:spacing w:line="360" w:lineRule="auto"/>
        <w:rPr>
          <w:rFonts w:ascii="宋体"/>
          <w:b/>
          <w:sz w:val="24"/>
        </w:rPr>
      </w:pPr>
      <w:r>
        <w:rPr>
          <w:rFonts w:ascii="宋体" w:hint="eastAsia"/>
          <w:b/>
          <w:sz w:val="24"/>
        </w:rPr>
        <w:t>三、比选程序</w:t>
      </w:r>
    </w:p>
    <w:p>
      <w:pPr>
        <w:pStyle w:val="96"/>
        <w:spacing w:line="360" w:lineRule="auto"/>
        <w:rPr>
          <w:rFonts w:ascii="宋体"/>
          <w:sz w:val="24"/>
        </w:rPr>
      </w:pPr>
      <w:r>
        <w:rPr>
          <w:rFonts w:ascii="宋体" w:hint="eastAsia"/>
          <w:sz w:val="24"/>
        </w:rPr>
        <w:t>比选工作由采购人负责组织，具体比选事务由采购人组建的评审小组负责。</w:t>
      </w:r>
    </w:p>
    <w:p>
      <w:pPr>
        <w:pStyle w:val="96"/>
        <w:spacing w:line="360" w:lineRule="auto"/>
        <w:rPr>
          <w:rFonts w:ascii="宋体"/>
          <w:sz w:val="24"/>
        </w:rPr>
      </w:pPr>
      <w:r>
        <w:rPr>
          <w:rFonts w:ascii="宋体" w:hint="eastAsia"/>
          <w:sz w:val="24"/>
        </w:rPr>
        <w:t>评审小组按以下程序独立履行评审职责：</w:t>
      </w:r>
    </w:p>
    <w:p>
      <w:pPr>
        <w:pStyle w:val="96"/>
        <w:spacing w:line="360" w:lineRule="auto"/>
        <w:rPr>
          <w:rFonts w:ascii="宋体"/>
          <w:sz w:val="24"/>
        </w:rPr>
      </w:pPr>
      <w:r>
        <w:rPr>
          <w:rFonts w:ascii="宋体"/>
          <w:b/>
          <w:sz w:val="24"/>
        </w:rPr>
        <w:t>1.</w:t>
      </w:r>
      <w:r>
        <w:rPr>
          <w:rFonts w:ascii="宋体" w:hint="eastAsia"/>
          <w:b/>
          <w:sz w:val="24"/>
        </w:rPr>
        <w:t>资格性检查。</w:t>
      </w:r>
      <w:r>
        <w:rPr>
          <w:rFonts w:ascii="宋体" w:hint="eastAsia"/>
          <w:sz w:val="24"/>
        </w:rPr>
        <w:t>依据法律法规和比选文件的规定，对响应文件中的资格证明等进行审查，以确定供应商是否具备投标资格。资格性检查资料表如下：</w:t>
      </w:r>
    </w:p>
    <w:tbl>
      <w:tblPr>
        <w:jc w:val="cente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708"/>
        <w:gridCol w:w="2694"/>
        <w:gridCol w:w="5670"/>
      </w:tblGrid>
      <w:tr>
        <w:trPr>
          <w:trHeight w:val="415"/>
        </w:trPr>
        <w:tc>
          <w:tcPr>
            <w:tcW w:w="710" w:type="dxa"/>
            <w:noWrap/>
            <w:vAlign w:val="center"/>
          </w:tcPr>
          <w:p>
            <w:pPr>
              <w:pStyle w:val="96"/>
              <w:jc w:val="center"/>
              <w:rPr>
                <w:rFonts w:ascii="宋体"/>
                <w:sz w:val="24"/>
              </w:rPr>
            </w:pPr>
            <w:r>
              <w:rPr>
                <w:rFonts w:ascii="宋体" w:hint="eastAsia"/>
                <w:sz w:val="24"/>
              </w:rPr>
              <w:t>序号</w:t>
            </w:r>
          </w:p>
        </w:tc>
        <w:tc>
          <w:tcPr>
            <w:tcW w:w="3402" w:type="dxa"/>
            <w:gridSpan w:val="2"/>
            <w:noWrap/>
            <w:vAlign w:val="center"/>
          </w:tcPr>
          <w:p>
            <w:pPr>
              <w:pStyle w:val="96"/>
              <w:jc w:val="center"/>
              <w:rPr>
                <w:rFonts w:ascii="宋体"/>
                <w:sz w:val="24"/>
              </w:rPr>
            </w:pPr>
            <w:r>
              <w:rPr>
                <w:rFonts w:ascii="宋体" w:hint="eastAsia"/>
                <w:sz w:val="24"/>
              </w:rPr>
              <w:t>检查因素</w:t>
            </w:r>
          </w:p>
        </w:tc>
        <w:tc>
          <w:tcPr>
            <w:tcW w:w="5670" w:type="dxa"/>
            <w:noWrap/>
            <w:vAlign w:val="center"/>
          </w:tcPr>
          <w:p>
            <w:pPr>
              <w:pStyle w:val="96"/>
              <w:jc w:val="center"/>
              <w:rPr>
                <w:rFonts w:ascii="宋体"/>
                <w:sz w:val="24"/>
              </w:rPr>
            </w:pPr>
            <w:r>
              <w:rPr>
                <w:rFonts w:ascii="宋体" w:hint="eastAsia"/>
                <w:sz w:val="24"/>
              </w:rPr>
              <w:t>检查内容</w:t>
            </w:r>
          </w:p>
        </w:tc>
      </w:tr>
      <w:tr>
        <w:trPr>
          <w:trHeight w:val="833"/>
        </w:trPr>
        <w:tc>
          <w:tcPr>
            <w:tcW w:w="710" w:type="dxa"/>
            <w:vMerge w:val="restart"/>
            <w:noWrap/>
            <w:vAlign w:val="center"/>
          </w:tcPr>
          <w:p>
            <w:pPr>
              <w:pStyle w:val="96"/>
              <w:rPr>
                <w:rFonts w:ascii="宋体"/>
                <w:sz w:val="24"/>
              </w:rPr>
            </w:pPr>
            <w:r>
              <w:rPr>
                <w:rFonts w:ascii="宋体"/>
                <w:sz w:val="24"/>
              </w:rPr>
              <w:t>1.1</w:t>
            </w:r>
          </w:p>
        </w:tc>
        <w:tc>
          <w:tcPr>
            <w:tcW w:w="708" w:type="dxa"/>
            <w:vMerge w:val="restart"/>
            <w:noWrap/>
            <w:vAlign w:val="center"/>
          </w:tcPr>
          <w:p>
            <w:pPr>
              <w:pStyle w:val="96"/>
              <w:rPr>
                <w:rFonts w:ascii="宋体"/>
                <w:sz w:val="24"/>
              </w:rPr>
            </w:pPr>
            <w:r>
              <w:rPr>
                <w:rFonts w:ascii="宋体" w:hint="eastAsia"/>
                <w:sz w:val="24"/>
              </w:rPr>
              <w:t>供应商应符合的基本资格条件</w:t>
            </w:r>
          </w:p>
        </w:tc>
        <w:tc>
          <w:tcPr>
            <w:tcW w:w="2694" w:type="dxa"/>
            <w:noWrap/>
            <w:vAlign w:val="center"/>
          </w:tcPr>
          <w:p>
            <w:pPr>
              <w:pStyle w:val="96"/>
              <w:rPr>
                <w:rFonts w:ascii="宋体"/>
                <w:sz w:val="24"/>
              </w:rPr>
            </w:pPr>
            <w:r>
              <w:rPr>
                <w:rFonts w:ascii="宋体" w:hint="eastAsia"/>
                <w:sz w:val="24"/>
              </w:rPr>
              <w:t>（</w:t>
            </w:r>
            <w:r>
              <w:rPr>
                <w:rFonts w:ascii="宋体"/>
                <w:sz w:val="24"/>
              </w:rPr>
              <w:t>1</w:t>
            </w:r>
            <w:r>
              <w:rPr>
                <w:rFonts w:ascii="宋体" w:hint="eastAsia"/>
                <w:sz w:val="24"/>
              </w:rPr>
              <w:t>）具有独立承担民事责任的能力</w:t>
            </w:r>
          </w:p>
        </w:tc>
        <w:tc>
          <w:tcPr>
            <w:tcW w:w="5670" w:type="dxa"/>
            <w:noWrap/>
            <w:vAlign w:val="center"/>
          </w:tcPr>
          <w:p>
            <w:pPr>
              <w:pStyle w:val="96"/>
              <w:ind w:firstLineChars="200" w:firstLine="480"/>
              <w:rPr>
                <w:rFonts w:ascii="宋体"/>
                <w:sz w:val="24"/>
              </w:rPr>
            </w:pPr>
            <w:r>
              <w:rPr>
                <w:rFonts w:ascii="宋体" w:hint="eastAsia"/>
                <w:sz w:val="24"/>
              </w:rPr>
              <w:t>供应商法人营业执照（副本）或事业单位法人证书（副本）或个体工商户营业执照，供应商法定代表人身份证明和法定代表人授权代表委托书。供应商若为分支机构（公司）且非独立法人的，须提供其总公司（集团）出具的授权书（格式自定，并加盖总公司（集团）公章）</w:t>
            </w:r>
          </w:p>
        </w:tc>
      </w:tr>
      <w:tr>
        <w:trPr>
          <w:trHeight w:val="838"/>
        </w:trPr>
        <w:tc>
          <w:tcPr>
            <w:tcW w:w="710" w:type="dxa"/>
            <w:vMerge/>
            <w:noWrap/>
            <w:vAlign w:val="center"/>
          </w:tcPr>
          <w:p/>
        </w:tc>
        <w:tc>
          <w:tcPr>
            <w:tcW w:w="708" w:type="dxa"/>
            <w:vMerge/>
            <w:noWrap/>
            <w:vAlign w:val="center"/>
          </w:tcPr>
          <w:p/>
        </w:tc>
        <w:tc>
          <w:tcPr>
            <w:tcW w:w="2694" w:type="dxa"/>
            <w:noWrap/>
            <w:vAlign w:val="center"/>
          </w:tcPr>
          <w:p>
            <w:pPr>
              <w:pStyle w:val="96"/>
              <w:rPr>
                <w:rFonts w:ascii="宋体"/>
                <w:sz w:val="24"/>
              </w:rPr>
            </w:pPr>
            <w:r>
              <w:rPr>
                <w:rFonts w:ascii="宋体" w:hint="eastAsia"/>
                <w:sz w:val="24"/>
              </w:rPr>
              <w:t>（</w:t>
            </w:r>
            <w:r>
              <w:rPr>
                <w:rFonts w:ascii="宋体"/>
                <w:sz w:val="24"/>
              </w:rPr>
              <w:t>2</w:t>
            </w:r>
            <w:r>
              <w:rPr>
                <w:rFonts w:ascii="宋体" w:hint="eastAsia"/>
                <w:sz w:val="24"/>
              </w:rPr>
              <w:t>）具有良好的商业信誉和健全的财务会计制度</w:t>
            </w:r>
          </w:p>
        </w:tc>
        <w:tc>
          <w:tcPr>
            <w:tcW w:w="5670" w:type="dxa"/>
            <w:vMerge w:val="restart"/>
            <w:noWrap/>
            <w:vAlign w:val="center"/>
          </w:tcPr>
          <w:p>
            <w:pPr>
              <w:pStyle w:val="96"/>
              <w:autoSpaceDN w:val="0"/>
              <w:rPr>
                <w:rFonts w:ascii="宋体"/>
                <w:sz w:val="24"/>
              </w:rPr>
            </w:pPr>
          </w:p>
          <w:p>
            <w:pPr>
              <w:pStyle w:val="96"/>
              <w:autoSpaceDN w:val="0"/>
              <w:rPr>
                <w:rFonts w:ascii="宋体"/>
                <w:sz w:val="24"/>
              </w:rPr>
            </w:pPr>
            <w:r>
              <w:rPr>
                <w:rFonts w:ascii="宋体" w:hint="eastAsia"/>
                <w:sz w:val="24"/>
              </w:rPr>
              <w:t>供应商提供“基本资格条件承诺函”（格式详见第六章）</w:t>
            </w:r>
          </w:p>
          <w:p>
            <w:pPr>
              <w:pStyle w:val="96"/>
              <w:autoSpaceDN w:val="0"/>
              <w:ind w:firstLine="482"/>
              <w:rPr>
                <w:rFonts w:ascii="宋体"/>
                <w:b/>
                <w:bCs/>
                <w:sz w:val="24"/>
              </w:rPr>
            </w:pPr>
          </w:p>
        </w:tc>
      </w:tr>
      <w:tr>
        <w:trPr>
          <w:trHeight w:val="487"/>
        </w:trPr>
        <w:tc>
          <w:tcPr>
            <w:tcW w:w="710" w:type="dxa"/>
            <w:vMerge/>
            <w:noWrap/>
            <w:vAlign w:val="center"/>
          </w:tcPr>
          <w:p/>
        </w:tc>
        <w:tc>
          <w:tcPr>
            <w:tcW w:w="708" w:type="dxa"/>
            <w:vMerge/>
            <w:noWrap/>
            <w:vAlign w:val="center"/>
          </w:tcPr>
          <w:p/>
        </w:tc>
        <w:tc>
          <w:tcPr>
            <w:tcW w:w="2694" w:type="dxa"/>
            <w:noWrap/>
            <w:vAlign w:val="center"/>
          </w:tcPr>
          <w:p>
            <w:pPr>
              <w:pStyle w:val="96"/>
              <w:rPr>
                <w:rFonts w:ascii="宋体"/>
                <w:sz w:val="24"/>
              </w:rPr>
            </w:pPr>
            <w:r>
              <w:rPr>
                <w:rFonts w:ascii="宋体" w:hint="eastAsia"/>
                <w:sz w:val="24"/>
              </w:rPr>
              <w:t>（</w:t>
            </w:r>
            <w:r>
              <w:rPr>
                <w:rFonts w:ascii="宋体"/>
                <w:sz w:val="24"/>
              </w:rPr>
              <w:t>3</w:t>
            </w:r>
            <w:r>
              <w:rPr>
                <w:rFonts w:ascii="宋体" w:hint="eastAsia"/>
                <w:sz w:val="24"/>
              </w:rPr>
              <w:t>）具有履行合同所必须的设备和专业技术能力</w:t>
            </w:r>
          </w:p>
        </w:tc>
        <w:tc>
          <w:tcPr>
            <w:tcW w:w="5670" w:type="dxa"/>
            <w:vMerge/>
            <w:noWrap/>
            <w:vAlign w:val="center"/>
          </w:tcPr>
          <w:p/>
        </w:tc>
      </w:tr>
      <w:tr>
        <w:trPr>
          <w:trHeight w:val="717"/>
        </w:trPr>
        <w:tc>
          <w:tcPr>
            <w:tcW w:w="710" w:type="dxa"/>
            <w:vMerge/>
            <w:noWrap/>
            <w:vAlign w:val="center"/>
          </w:tcPr>
          <w:p/>
        </w:tc>
        <w:tc>
          <w:tcPr>
            <w:tcW w:w="708" w:type="dxa"/>
            <w:vMerge/>
            <w:noWrap/>
            <w:vAlign w:val="center"/>
          </w:tcPr>
          <w:p/>
        </w:tc>
        <w:tc>
          <w:tcPr>
            <w:tcW w:w="2694" w:type="dxa"/>
            <w:noWrap/>
            <w:vAlign w:val="center"/>
          </w:tcPr>
          <w:p>
            <w:pPr>
              <w:pStyle w:val="96"/>
              <w:rPr>
                <w:rFonts w:ascii="宋体"/>
                <w:sz w:val="24"/>
              </w:rPr>
            </w:pPr>
            <w:r>
              <w:rPr>
                <w:rFonts w:ascii="宋体" w:hint="eastAsia"/>
                <w:sz w:val="24"/>
              </w:rPr>
              <w:t>（</w:t>
            </w:r>
            <w:r>
              <w:rPr>
                <w:rFonts w:ascii="宋体"/>
                <w:sz w:val="24"/>
              </w:rPr>
              <w:t>4</w:t>
            </w:r>
            <w:r>
              <w:rPr>
                <w:rFonts w:ascii="宋体" w:hint="eastAsia"/>
                <w:sz w:val="24"/>
              </w:rPr>
              <w:t>）有依法缴纳税收和社会保障金的良好记录</w:t>
            </w:r>
          </w:p>
        </w:tc>
        <w:tc>
          <w:tcPr>
            <w:tcW w:w="5670" w:type="dxa"/>
            <w:vMerge/>
            <w:noWrap/>
            <w:vAlign w:val="center"/>
          </w:tcPr>
          <w:p/>
        </w:tc>
      </w:tr>
      <w:tr>
        <w:trPr>
          <w:trHeight w:val="371"/>
        </w:trPr>
        <w:tc>
          <w:tcPr>
            <w:tcW w:w="710" w:type="dxa"/>
            <w:vMerge/>
            <w:noWrap/>
            <w:vAlign w:val="center"/>
          </w:tcPr>
          <w:p/>
        </w:tc>
        <w:tc>
          <w:tcPr>
            <w:tcW w:w="708" w:type="dxa"/>
            <w:vMerge/>
            <w:noWrap/>
            <w:vAlign w:val="center"/>
          </w:tcPr>
          <w:p/>
        </w:tc>
        <w:tc>
          <w:tcPr>
            <w:tcW w:w="2694" w:type="dxa"/>
            <w:noWrap/>
            <w:vAlign w:val="center"/>
          </w:tcPr>
          <w:p>
            <w:pPr>
              <w:pStyle w:val="96"/>
              <w:rPr>
                <w:rFonts w:ascii="宋体"/>
                <w:sz w:val="24"/>
              </w:rPr>
            </w:pPr>
            <w:r>
              <w:rPr>
                <w:rFonts w:ascii="宋体" w:hint="eastAsia"/>
                <w:sz w:val="24"/>
              </w:rPr>
              <w:t>（</w:t>
            </w:r>
            <w:r>
              <w:rPr>
                <w:rFonts w:ascii="宋体"/>
                <w:sz w:val="24"/>
              </w:rPr>
              <w:t>5</w:t>
            </w:r>
            <w:r>
              <w:rPr>
                <w:rFonts w:ascii="宋体" w:hint="eastAsia"/>
                <w:sz w:val="24"/>
              </w:rPr>
              <w:t>）参加政府采购活动近三年内，在经营活动中没有重大违法记录</w:t>
            </w:r>
          </w:p>
        </w:tc>
        <w:tc>
          <w:tcPr>
            <w:tcW w:w="5670" w:type="dxa"/>
            <w:vMerge/>
            <w:noWrap/>
            <w:vAlign w:val="center"/>
          </w:tcPr>
          <w:p/>
        </w:tc>
      </w:tr>
      <w:tr>
        <w:trPr>
          <w:trHeight w:val="90"/>
        </w:trPr>
        <w:tc>
          <w:tcPr>
            <w:tcW w:w="710" w:type="dxa"/>
            <w:noWrap/>
            <w:vAlign w:val="center"/>
          </w:tcPr>
          <w:p>
            <w:pPr>
              <w:pStyle w:val="96"/>
              <w:spacing w:line="360" w:lineRule="auto"/>
              <w:jc w:val="center"/>
              <w:rPr>
                <w:rFonts w:ascii="宋体"/>
                <w:sz w:val="24"/>
              </w:rPr>
            </w:pPr>
            <w:r>
              <w:rPr>
                <w:rFonts w:ascii="宋体"/>
                <w:sz w:val="24"/>
              </w:rPr>
              <w:t>1.2</w:t>
            </w:r>
          </w:p>
        </w:tc>
        <w:tc>
          <w:tcPr>
            <w:tcW w:w="3402" w:type="dxa"/>
            <w:gridSpan w:val="2"/>
            <w:noWrap/>
            <w:vAlign w:val="center"/>
          </w:tcPr>
          <w:p>
            <w:pPr>
              <w:pStyle w:val="96"/>
              <w:jc w:val="center"/>
              <w:rPr>
                <w:rFonts w:ascii="宋体"/>
                <w:sz w:val="24"/>
              </w:rPr>
            </w:pPr>
            <w:r>
              <w:rPr>
                <w:rFonts w:ascii="宋体" w:hint="eastAsia"/>
                <w:sz w:val="24"/>
              </w:rPr>
              <w:t>供应商必须符合的特定资格条件</w:t>
            </w:r>
          </w:p>
        </w:tc>
        <w:tc>
          <w:tcPr>
            <w:tcW w:w="5670" w:type="dxa"/>
            <w:noWrap/>
            <w:vAlign w:val="center"/>
          </w:tcPr>
          <w:p>
            <w:pPr>
              <w:pStyle w:val="96"/>
              <w:rPr>
                <w:rFonts w:ascii="宋体"/>
                <w:b/>
                <w:bCs/>
                <w:sz w:val="24"/>
              </w:rPr>
            </w:pPr>
            <w:r>
              <w:rPr>
                <w:rFonts w:ascii="宋体" w:hint="eastAsia"/>
                <w:sz w:val="24"/>
              </w:rPr>
              <w:t>无</w:t>
            </w:r>
          </w:p>
        </w:tc>
      </w:tr>
    </w:tbl>
    <w:p>
      <w:pPr>
        <w:pStyle w:val="96"/>
        <w:spacing w:line="360" w:lineRule="auto"/>
        <w:ind w:firstLineChars="200" w:firstLine="480"/>
        <w:rPr>
          <w:rFonts w:ascii="宋体"/>
          <w:b/>
          <w:sz w:val="24"/>
        </w:rPr>
      </w:pPr>
      <w:r>
        <w:rPr>
          <w:rFonts w:ascii="宋体"/>
          <w:b/>
          <w:sz w:val="24"/>
        </w:rPr>
        <w:t xml:space="preserve">  </w:t>
      </w:r>
      <w:r>
        <w:rPr>
          <w:rFonts w:ascii="宋体" w:hint="eastAsia"/>
          <w:b/>
          <w:sz w:val="24"/>
        </w:rPr>
        <w:t>注：</w:t>
      </w:r>
    </w:p>
    <w:p>
      <w:pPr>
        <w:pStyle w:val="96"/>
        <w:spacing w:line="360" w:lineRule="auto"/>
        <w:ind w:firstLineChars="200" w:firstLine="480"/>
        <w:rPr>
          <w:rFonts w:ascii="宋体"/>
          <w:sz w:val="24"/>
        </w:rPr>
      </w:pPr>
      <w:r>
        <w:rPr>
          <w:rFonts w:ascii="宋体"/>
          <w:sz w:val="24"/>
        </w:rPr>
        <w:t>1</w:t>
      </w:r>
      <w:r>
        <w:rPr>
          <w:rFonts w:ascii="宋体" w:hint="eastAsia"/>
          <w:sz w:val="24"/>
        </w:rPr>
        <w:t>）供应商按“三证合一”登记制度办理营业执照的，组织机构代码证和税务登记证（副本）以供应商所提供的营业执照（副本）复印件为准。</w:t>
      </w:r>
    </w:p>
    <w:p>
      <w:pPr>
        <w:pStyle w:val="96"/>
        <w:spacing w:line="360" w:lineRule="auto"/>
        <w:ind w:firstLineChars="200" w:firstLine="480"/>
        <w:rPr>
          <w:rFonts w:ascii="宋体"/>
          <w:sz w:val="24"/>
        </w:rPr>
      </w:pPr>
      <w:r>
        <w:rPr>
          <w:rFonts w:ascii="宋体"/>
          <w:sz w:val="24"/>
        </w:rPr>
        <w:t>2</w:t>
      </w:r>
      <w:r>
        <w:rPr>
          <w:rFonts w:ascii="宋体" w:hint="eastAsia"/>
          <w:sz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w:t>
      </w:r>
    </w:p>
    <w:p>
      <w:pPr>
        <w:pStyle w:val="96"/>
        <w:spacing w:line="360" w:lineRule="auto"/>
        <w:ind w:firstLineChars="200" w:firstLine="480"/>
        <w:rPr>
          <w:rFonts w:ascii="宋体"/>
          <w:sz w:val="24"/>
        </w:rPr>
      </w:pPr>
      <w:r>
        <w:rPr>
          <w:rFonts w:ascii="宋体"/>
          <w:sz w:val="24"/>
        </w:rPr>
        <w:t>3</w:t>
      </w:r>
      <w:r>
        <w:rPr>
          <w:rFonts w:ascii="宋体" w:hint="eastAsia"/>
          <w:sz w:val="24"/>
        </w:rPr>
        <w:t>）资格性审查不合格者，按无效投标处理。</w:t>
      </w:r>
    </w:p>
    <w:p>
      <w:pPr>
        <w:pStyle w:val="96"/>
        <w:spacing w:line="360" w:lineRule="auto"/>
        <w:ind w:firstLineChars="200" w:firstLine="480"/>
        <w:rPr>
          <w:rFonts w:ascii="宋体"/>
          <w:b/>
          <w:sz w:val="24"/>
        </w:rPr>
      </w:pPr>
      <w:r>
        <w:rPr>
          <w:rFonts w:ascii="宋体"/>
          <w:b/>
          <w:sz w:val="24"/>
        </w:rPr>
        <w:t>2.</w:t>
      </w:r>
      <w:r>
        <w:rPr>
          <w:rFonts w:ascii="宋体" w:hint="eastAsia"/>
          <w:b/>
          <w:sz w:val="24"/>
        </w:rPr>
        <w:t>符合性检查。</w:t>
      </w:r>
    </w:p>
    <w:p>
      <w:pPr>
        <w:pStyle w:val="96"/>
        <w:spacing w:line="360" w:lineRule="auto"/>
        <w:ind w:firstLineChars="200" w:firstLine="480"/>
        <w:rPr>
          <w:rFonts w:ascii="宋体"/>
          <w:sz w:val="24"/>
        </w:rPr>
      </w:pPr>
      <w:r>
        <w:rPr>
          <w:rFonts w:ascii="宋体"/>
          <w:sz w:val="24"/>
        </w:rPr>
        <w:t xml:space="preserve">2.1 </w:t>
      </w:r>
      <w:r>
        <w:rPr>
          <w:rFonts w:ascii="宋体" w:hint="eastAsia"/>
          <w:sz w:val="24"/>
        </w:rPr>
        <w:t>依据比选文件的规定，从响应文件的有效性、完整性和对比选文件的响应程度进行审查，以确定是否对比选文件的实质性要求作出响应。符合性检查资料表如下：</w:t>
      </w:r>
    </w:p>
    <w:p>
      <w:pPr>
        <w:pStyle w:val="96"/>
        <w:spacing w:line="360" w:lineRule="auto"/>
        <w:ind w:firstLineChars="200" w:firstLine="480"/>
        <w:rPr>
          <w:rFonts w:ascii="宋体"/>
          <w:sz w:val="24"/>
        </w:rPr>
      </w:pPr>
    </w:p>
    <w:tbl>
      <w:tblPr>
        <w:jc w:val="cent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1275"/>
        <w:gridCol w:w="1985"/>
        <w:gridCol w:w="5953"/>
      </w:tblGrid>
      <w:tr>
        <w:trPr>
          <w:trHeight w:val="521"/>
        </w:trPr>
        <w:tc>
          <w:tcPr>
            <w:tcW w:w="710" w:type="dxa"/>
            <w:noWrap/>
            <w:vAlign w:val="center"/>
          </w:tcPr>
          <w:p>
            <w:pPr>
              <w:pStyle w:val="96"/>
              <w:jc w:val="center"/>
              <w:rPr>
                <w:rFonts w:ascii="宋体"/>
                <w:sz w:val="24"/>
              </w:rPr>
            </w:pPr>
            <w:r>
              <w:rPr>
                <w:rFonts w:ascii="宋体" w:hint="eastAsia"/>
                <w:sz w:val="24"/>
              </w:rPr>
              <w:t>序号</w:t>
            </w:r>
          </w:p>
        </w:tc>
        <w:tc>
          <w:tcPr>
            <w:tcW w:w="3260" w:type="dxa"/>
            <w:gridSpan w:val="2"/>
            <w:noWrap/>
            <w:vAlign w:val="center"/>
          </w:tcPr>
          <w:p>
            <w:pPr>
              <w:pStyle w:val="96"/>
              <w:jc w:val="center"/>
              <w:rPr>
                <w:rFonts w:ascii="宋体"/>
                <w:sz w:val="24"/>
              </w:rPr>
            </w:pPr>
            <w:r>
              <w:rPr>
                <w:rFonts w:ascii="宋体" w:hint="eastAsia"/>
                <w:sz w:val="24"/>
              </w:rPr>
              <w:t>评审因素</w:t>
            </w:r>
          </w:p>
        </w:tc>
        <w:tc>
          <w:tcPr>
            <w:tcW w:w="5953" w:type="dxa"/>
            <w:noWrap/>
            <w:vAlign w:val="center"/>
          </w:tcPr>
          <w:p>
            <w:pPr>
              <w:pStyle w:val="96"/>
              <w:jc w:val="center"/>
              <w:rPr>
                <w:rFonts w:ascii="宋体"/>
                <w:sz w:val="24"/>
              </w:rPr>
            </w:pPr>
            <w:r>
              <w:rPr>
                <w:rFonts w:ascii="宋体" w:hint="eastAsia"/>
                <w:sz w:val="24"/>
              </w:rPr>
              <w:t>评审标准</w:t>
            </w:r>
          </w:p>
        </w:tc>
      </w:tr>
      <w:tr>
        <w:trPr>
          <w:trHeight w:val="474"/>
        </w:trPr>
        <w:tc>
          <w:tcPr>
            <w:tcW w:w="710" w:type="dxa"/>
            <w:vMerge w:val="restart"/>
            <w:noWrap/>
            <w:vAlign w:val="center"/>
          </w:tcPr>
          <w:p>
            <w:pPr>
              <w:pStyle w:val="96"/>
              <w:jc w:val="center"/>
              <w:rPr>
                <w:rFonts w:ascii="宋体"/>
                <w:sz w:val="24"/>
              </w:rPr>
            </w:pPr>
            <w:r>
              <w:rPr>
                <w:rFonts w:ascii="宋体"/>
                <w:sz w:val="24"/>
              </w:rPr>
              <w:t>1</w:t>
            </w:r>
          </w:p>
        </w:tc>
        <w:tc>
          <w:tcPr>
            <w:tcW w:w="1275" w:type="dxa"/>
            <w:vMerge w:val="restart"/>
            <w:noWrap/>
            <w:vAlign w:val="center"/>
          </w:tcPr>
          <w:p>
            <w:pPr>
              <w:pStyle w:val="96"/>
              <w:jc w:val="center"/>
              <w:rPr>
                <w:rFonts w:ascii="宋体"/>
                <w:sz w:val="24"/>
              </w:rPr>
            </w:pPr>
            <w:r>
              <w:rPr>
                <w:rFonts w:ascii="宋体" w:hint="eastAsia"/>
                <w:sz w:val="24"/>
              </w:rPr>
              <w:t>有效性审查</w:t>
            </w:r>
          </w:p>
        </w:tc>
        <w:tc>
          <w:tcPr>
            <w:tcW w:w="1985" w:type="dxa"/>
            <w:noWrap/>
            <w:vAlign w:val="center"/>
          </w:tcPr>
          <w:p>
            <w:pPr>
              <w:pStyle w:val="96"/>
              <w:jc w:val="center"/>
              <w:rPr>
                <w:rFonts w:ascii="宋体"/>
                <w:sz w:val="24"/>
              </w:rPr>
            </w:pPr>
            <w:r>
              <w:rPr>
                <w:rFonts w:ascii="宋体" w:hint="eastAsia"/>
                <w:sz w:val="24"/>
              </w:rPr>
              <w:t>响应文件签署</w:t>
            </w:r>
          </w:p>
        </w:tc>
        <w:tc>
          <w:tcPr>
            <w:tcW w:w="5953" w:type="dxa"/>
            <w:noWrap/>
            <w:vAlign w:val="center"/>
          </w:tcPr>
          <w:p>
            <w:pPr>
              <w:pStyle w:val="96"/>
              <w:ind w:firstLineChars="200" w:firstLine="480"/>
              <w:jc w:val="left"/>
              <w:rPr>
                <w:rFonts w:ascii="宋体"/>
                <w:sz w:val="24"/>
              </w:rPr>
            </w:pPr>
            <w:r>
              <w:rPr>
                <w:rFonts w:ascii="宋体" w:hint="eastAsia"/>
                <w:sz w:val="24"/>
              </w:rPr>
              <w:t>法定代表人或其授权代表人的签字齐全。</w:t>
            </w:r>
          </w:p>
        </w:tc>
      </w:tr>
      <w:tr>
        <w:trPr>
          <w:trHeight w:val="777"/>
        </w:trPr>
        <w:tc>
          <w:tcPr>
            <w:tcW w:w="710" w:type="dxa"/>
            <w:vMerge/>
            <w:noWrap/>
            <w:vAlign w:val="center"/>
          </w:tcPr>
          <w:p/>
        </w:tc>
        <w:tc>
          <w:tcPr>
            <w:tcW w:w="1275" w:type="dxa"/>
            <w:vMerge/>
            <w:noWrap/>
            <w:vAlign w:val="center"/>
          </w:tcPr>
          <w:p/>
        </w:tc>
        <w:tc>
          <w:tcPr>
            <w:tcW w:w="1985" w:type="dxa"/>
            <w:noWrap/>
            <w:vAlign w:val="center"/>
          </w:tcPr>
          <w:p>
            <w:pPr>
              <w:pStyle w:val="96"/>
              <w:jc w:val="center"/>
              <w:rPr>
                <w:rFonts w:ascii="宋体"/>
                <w:sz w:val="24"/>
              </w:rPr>
            </w:pPr>
            <w:r>
              <w:rPr>
                <w:rFonts w:ascii="宋体" w:hint="eastAsia"/>
                <w:sz w:val="24"/>
              </w:rPr>
              <w:t>法定代表人授权委托书</w:t>
            </w:r>
          </w:p>
        </w:tc>
        <w:tc>
          <w:tcPr>
            <w:tcW w:w="5953" w:type="dxa"/>
            <w:noWrap/>
            <w:vAlign w:val="center"/>
          </w:tcPr>
          <w:p>
            <w:pPr>
              <w:pStyle w:val="96"/>
              <w:ind w:firstLineChars="200" w:firstLine="480"/>
              <w:jc w:val="left"/>
              <w:rPr>
                <w:rFonts w:ascii="宋体"/>
                <w:sz w:val="24"/>
              </w:rPr>
            </w:pPr>
            <w:r>
              <w:rPr>
                <w:rFonts w:ascii="宋体" w:hint="eastAsia"/>
                <w:sz w:val="24"/>
              </w:rPr>
              <w:t>法定代表人授权委托书有效，符合比选文件规定的格式，签字或盖章齐全。</w:t>
            </w:r>
          </w:p>
        </w:tc>
      </w:tr>
      <w:tr>
        <w:trPr>
          <w:trHeight w:val="380"/>
        </w:trPr>
        <w:tc>
          <w:tcPr>
            <w:tcW w:w="710" w:type="dxa"/>
            <w:vMerge/>
            <w:noWrap/>
            <w:vAlign w:val="center"/>
          </w:tcPr>
          <w:p/>
        </w:tc>
        <w:tc>
          <w:tcPr>
            <w:tcW w:w="1275" w:type="dxa"/>
            <w:vMerge/>
            <w:noWrap/>
            <w:vAlign w:val="center"/>
          </w:tcPr>
          <w:p/>
        </w:tc>
        <w:tc>
          <w:tcPr>
            <w:tcW w:w="1985" w:type="dxa"/>
            <w:noWrap/>
            <w:vAlign w:val="center"/>
          </w:tcPr>
          <w:p>
            <w:pPr>
              <w:pStyle w:val="96"/>
              <w:jc w:val="center"/>
              <w:rPr>
                <w:rFonts w:ascii="宋体"/>
                <w:sz w:val="24"/>
              </w:rPr>
            </w:pPr>
            <w:r>
              <w:rPr>
                <w:rFonts w:ascii="宋体" w:hint="eastAsia"/>
                <w:sz w:val="24"/>
              </w:rPr>
              <w:t>报价唯一</w:t>
            </w:r>
          </w:p>
        </w:tc>
        <w:tc>
          <w:tcPr>
            <w:tcW w:w="5953" w:type="dxa"/>
            <w:noWrap/>
            <w:vAlign w:val="center"/>
          </w:tcPr>
          <w:p>
            <w:pPr>
              <w:pStyle w:val="96"/>
              <w:ind w:firstLineChars="200" w:firstLine="480"/>
              <w:jc w:val="left"/>
              <w:rPr>
                <w:rFonts w:ascii="宋体"/>
                <w:sz w:val="24"/>
              </w:rPr>
            </w:pPr>
            <w:r>
              <w:rPr>
                <w:rFonts w:ascii="宋体" w:hint="eastAsia"/>
                <w:sz w:val="24"/>
              </w:rPr>
              <w:t>只能在采购预算范围内报价，只能有一个有效报价，不得提交选择性报价。</w:t>
            </w:r>
          </w:p>
        </w:tc>
      </w:tr>
      <w:tr>
        <w:trPr>
          <w:trHeight w:val="380"/>
        </w:trPr>
        <w:tc>
          <w:tcPr>
            <w:tcW w:w="710" w:type="dxa"/>
            <w:noWrap/>
            <w:vAlign w:val="center"/>
          </w:tcPr>
          <w:p>
            <w:r>
              <w:rPr>
                <w:rFonts w:hint="eastAsia"/>
              </w:rPr>
              <w:t>2</w:t>
            </w:r>
          </w:p>
        </w:tc>
        <w:tc>
          <w:tcPr>
            <w:tcW w:w="1275" w:type="dxa"/>
            <w:noWrap/>
            <w:vAlign w:val="center"/>
          </w:tcPr>
          <w:p>
            <w:pPr>
              <w:autoSpaceDN w:val="0"/>
            </w:pPr>
            <w:r>
              <w:rPr>
                <w:rFonts w:ascii="宋体" w:hint="eastAsia"/>
                <w:sz w:val="24"/>
              </w:rPr>
              <w:t>完整性审查</w:t>
            </w:r>
          </w:p>
        </w:tc>
        <w:tc>
          <w:tcPr>
            <w:tcW w:w="1985" w:type="dxa"/>
            <w:noWrap/>
            <w:vAlign w:val="center"/>
          </w:tcPr>
          <w:p>
            <w:pPr>
              <w:autoSpaceDN w:val="0"/>
            </w:pPr>
            <w:r>
              <w:rPr>
                <w:rFonts w:ascii="宋体" w:hint="eastAsia"/>
                <w:sz w:val="24"/>
              </w:rPr>
              <w:t>响应文件份数</w:t>
            </w:r>
          </w:p>
          <w:p>
            <w:pPr>
              <w:pStyle w:val="96"/>
              <w:jc w:val="center"/>
              <w:rPr>
                <w:rFonts w:ascii="宋体"/>
                <w:sz w:val="24"/>
              </w:rPr>
            </w:pPr>
          </w:p>
        </w:tc>
        <w:tc>
          <w:tcPr>
            <w:tcW w:w="5953" w:type="dxa"/>
            <w:noWrap/>
            <w:vAlign w:val="center"/>
          </w:tcPr>
          <w:p>
            <w:pPr>
              <w:autoSpaceDN w:val="0"/>
            </w:pPr>
            <w:r>
              <w:rPr>
                <w:rFonts w:ascii="宋体" w:hint="eastAsia"/>
                <w:sz w:val="24"/>
              </w:rPr>
              <w:t>响应文件正、副本数量（含电子文档）符合比选文件要求。</w:t>
            </w:r>
          </w:p>
          <w:p>
            <w:pPr>
              <w:pStyle w:val="96"/>
              <w:ind w:firstLineChars="200" w:firstLine="480"/>
              <w:jc w:val="left"/>
              <w:rPr>
                <w:rFonts w:ascii="宋体"/>
                <w:sz w:val="24"/>
              </w:rPr>
            </w:pPr>
          </w:p>
        </w:tc>
      </w:tr>
      <w:tr>
        <w:trPr>
          <w:trHeight w:val="380"/>
        </w:trPr>
        <w:tc>
          <w:tcPr>
            <w:tcW w:w="710" w:type="dxa"/>
            <w:vMerge w:val="restart"/>
            <w:noWrap/>
            <w:vAlign w:val="center"/>
          </w:tcPr>
          <w:p>
            <w:r>
              <w:rPr>
                <w:rFonts w:hint="eastAsia"/>
              </w:rPr>
              <w:t>3</w:t>
            </w:r>
          </w:p>
        </w:tc>
        <w:tc>
          <w:tcPr>
            <w:tcW w:w="1275" w:type="dxa"/>
            <w:vMerge w:val="restart"/>
            <w:noWrap/>
            <w:vAlign w:val="center"/>
          </w:tcPr>
          <w:p>
            <w:pPr>
              <w:autoSpaceDN w:val="0"/>
            </w:pPr>
            <w:r>
              <w:rPr>
                <w:rFonts w:ascii="宋体" w:hint="eastAsia"/>
                <w:sz w:val="24"/>
              </w:rPr>
              <w:t>响应程度审查</w:t>
            </w:r>
          </w:p>
        </w:tc>
        <w:tc>
          <w:tcPr>
            <w:tcW w:w="1985" w:type="dxa"/>
            <w:noWrap/>
            <w:vAlign w:val="center"/>
          </w:tcPr>
          <w:p>
            <w:pPr>
              <w:autoSpaceDN w:val="0"/>
            </w:pPr>
            <w:r>
              <w:rPr>
                <w:rFonts w:ascii="宋体" w:hint="eastAsia"/>
                <w:sz w:val="24"/>
              </w:rPr>
              <w:t>实质性响应</w:t>
            </w:r>
          </w:p>
        </w:tc>
        <w:tc>
          <w:tcPr>
            <w:tcW w:w="5953" w:type="dxa"/>
            <w:noWrap/>
            <w:vAlign w:val="center"/>
          </w:tcPr>
          <w:p>
            <w:pPr>
              <w:pStyle w:val="203"/>
              <w:autoSpaceDN w:val="0"/>
            </w:pPr>
            <w:r>
              <w:rPr>
                <w:rFonts w:ascii="宋体" w:hint="eastAsia"/>
                <w:sz w:val="24"/>
              </w:rPr>
              <w:t>比选文件第三章“★”标注部分。</w:t>
            </w:r>
          </w:p>
        </w:tc>
      </w:tr>
      <w:tr>
        <w:trPr>
          <w:trHeight w:val="380"/>
        </w:trPr>
        <w:tc>
          <w:tcPr>
            <w:tcW w:w="710" w:type="dxa"/>
            <w:vMerge/>
            <w:noWrap/>
            <w:vAlign w:val="center"/>
          </w:tcPr>
          <w:p/>
        </w:tc>
        <w:tc>
          <w:tcPr>
            <w:tcW w:w="1275" w:type="dxa"/>
            <w:vMerge/>
            <w:noWrap/>
            <w:vAlign w:val="center"/>
          </w:tcPr>
          <w:p/>
        </w:tc>
        <w:tc>
          <w:tcPr>
            <w:tcW w:w="1985" w:type="dxa"/>
            <w:noWrap/>
            <w:vAlign w:val="center"/>
          </w:tcPr>
          <w:p>
            <w:pPr>
              <w:autoSpaceDN w:val="0"/>
            </w:pPr>
            <w:r>
              <w:rPr>
                <w:rFonts w:ascii="宋体" w:hint="eastAsia"/>
                <w:sz w:val="24"/>
              </w:rPr>
              <w:t>比选有效期</w:t>
            </w:r>
          </w:p>
        </w:tc>
        <w:tc>
          <w:tcPr>
            <w:tcW w:w="5953" w:type="dxa"/>
            <w:noWrap/>
            <w:vAlign w:val="center"/>
          </w:tcPr>
          <w:p>
            <w:pPr>
              <w:autoSpaceDN w:val="0"/>
            </w:pPr>
            <w:r>
              <w:rPr>
                <w:rFonts w:ascii="宋体" w:hint="eastAsia"/>
                <w:sz w:val="24"/>
              </w:rPr>
              <w:t>响应文件及有关承诺文件有效期为提交响应文件截止时间起90天。</w:t>
            </w:r>
          </w:p>
        </w:tc>
      </w:tr>
    </w:tbl>
    <w:p>
      <w:pPr>
        <w:pStyle w:val="96"/>
        <w:spacing w:line="360" w:lineRule="auto"/>
        <w:ind w:firstLineChars="200" w:firstLine="480"/>
        <w:rPr>
          <w:rFonts w:ascii="宋体"/>
          <w:b/>
          <w:bCs/>
          <w:sz w:val="24"/>
        </w:rPr>
      </w:pPr>
      <w:r>
        <w:rPr>
          <w:rFonts w:ascii="宋体" w:hint="eastAsia"/>
          <w:b/>
          <w:bCs/>
          <w:sz w:val="24"/>
        </w:rPr>
        <w:t>注：符合性审查不合格者，按无效投标处理。</w:t>
      </w:r>
    </w:p>
    <w:p>
      <w:pPr>
        <w:pStyle w:val="96"/>
        <w:spacing w:line="360" w:lineRule="auto"/>
        <w:ind w:firstLineChars="200" w:firstLine="480"/>
        <w:rPr>
          <w:rFonts w:ascii="宋体"/>
          <w:sz w:val="24"/>
        </w:rPr>
      </w:pPr>
      <w:r>
        <w:rPr>
          <w:rFonts w:ascii="宋体"/>
          <w:sz w:val="24"/>
        </w:rPr>
        <w:t xml:space="preserve">2.2 </w:t>
      </w:r>
      <w:r>
        <w:rPr>
          <w:rFonts w:ascii="宋体" w:hint="eastAsia"/>
          <w:sz w:val="24"/>
        </w:rPr>
        <w:t>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pStyle w:val="96"/>
        <w:spacing w:line="360" w:lineRule="auto"/>
        <w:ind w:firstLineChars="200" w:firstLine="480"/>
        <w:rPr>
          <w:rFonts w:ascii="宋体"/>
          <w:b/>
          <w:sz w:val="24"/>
        </w:rPr>
      </w:pPr>
      <w:r>
        <w:rPr>
          <w:rFonts w:ascii="宋体" w:hint="eastAsia"/>
          <w:b/>
          <w:sz w:val="24"/>
        </w:rPr>
        <w:t>四、比选方法</w:t>
      </w:r>
    </w:p>
    <w:p>
      <w:pPr>
        <w:adjustRightInd w:val="0"/>
        <w:snapToGrid w:val="0"/>
        <w:spacing w:line="360" w:lineRule="auto"/>
        <w:ind w:firstLineChars="177" w:firstLine="425"/>
        <w:rPr>
          <w:rFonts w:ascii="宋体"/>
          <w:sz w:val="24"/>
        </w:rPr>
      </w:pPr>
      <w:r>
        <w:rPr>
          <w:rFonts w:ascii="宋体" w:hint="eastAsia"/>
          <w:sz w:val="24"/>
        </w:rPr>
        <w:t>本次比选采用综合评价法进行评审，将综合分析报价人的各项指标，而不以单项指标的优劣评选出中选单位，满分为</w:t>
      </w:r>
      <w:r>
        <w:rPr>
          <w:rFonts w:ascii="宋体"/>
          <w:sz w:val="24"/>
        </w:rPr>
        <w:t>100</w:t>
      </w:r>
      <w:r>
        <w:rPr>
          <w:rFonts w:ascii="宋体" w:hint="eastAsia"/>
          <w:sz w:val="24"/>
        </w:rPr>
        <w:t>分。评标委员会专家评委根据本细则所列评分标准，对各供应商进行独立评分。按评分由高到低的排列顺序推荐中标候选人，排名第一的为第一中标候选人</w:t>
      </w:r>
      <w:r>
        <w:rPr>
          <w:rFonts w:ascii="宋体"/>
          <w:sz w:val="24"/>
        </w:rPr>
        <w:t>.</w:t>
      </w:r>
    </w:p>
    <w:p>
      <w:pPr>
        <w:pStyle w:val="15"/>
        <w:jc w:val="left"/>
      </w:pPr>
      <w:r>
        <w:rPr>
          <w:rFonts w:ascii="宋体" w:cs="宋体" w:hint="eastAsia"/>
          <w:iCs/>
          <w:sz w:val="24"/>
          <w:szCs w:val="24"/>
        </w:rPr>
        <w:t>技术评审表（</w:t>
      </w:r>
      <w:r>
        <w:rPr>
          <w:rFonts w:ascii="宋体" w:cs="宋体"/>
          <w:iCs/>
          <w:sz w:val="24"/>
          <w:szCs w:val="24"/>
        </w:rPr>
        <w:t>70</w:t>
      </w:r>
      <w:r>
        <w:rPr>
          <w:rFonts w:ascii="宋体" w:cs="宋体" w:hint="eastAsia"/>
          <w:iCs/>
          <w:sz w:val="24"/>
          <w:szCs w:val="24"/>
        </w:rPr>
        <w:t>分）</w:t>
      </w:r>
    </w:p>
    <w:tbl>
      <w:tblPr>
        <w:jc w:val="center"/>
        <w:tblW w:w="983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17"/>
        <w:gridCol w:w="1398"/>
        <w:gridCol w:w="916"/>
        <w:gridCol w:w="6807"/>
      </w:tblGrid>
      <w:tr>
        <w:trPr>
          <w:trHeight w:val="520"/>
        </w:trPr>
        <w:tc>
          <w:tcPr>
            <w:tcW w:w="717" w:type="dxa"/>
            <w:tcBorders>
              <w:top w:val="single" w:sz="12" w:space="0" w:color="auto"/>
              <w:left w:val="single" w:sz="12" w:space="0" w:color="auto"/>
              <w:bottom w:val="single" w:sz="6" w:space="0" w:color="auto"/>
              <w:right w:val="single" w:sz="6" w:space="0" w:color="auto"/>
              <w:tl2br w:val="nil"/>
              <w:tr2bl w:val="nil"/>
            </w:tcBorders>
          </w:tcPr>
          <w:p>
            <w:pPr>
              <w:pStyle w:val="171"/>
              <w:tabs>
                <w:tab w:val="left" w:pos="332"/>
              </w:tabs>
              <w:wordWrap w:val="0"/>
              <w:adjustRightInd w:val="0"/>
              <w:snapToGrid w:val="0"/>
              <w:spacing w:line="360" w:lineRule="auto"/>
              <w:jc w:val="center"/>
              <w:rPr>
                <w:rFonts w:cs="宋体"/>
                <w:b/>
                <w:iCs/>
                <w:sz w:val="24"/>
                <w:szCs w:val="24"/>
              </w:rPr>
            </w:pPr>
            <w:r>
              <w:rPr>
                <w:rFonts w:cs="宋体" w:hint="eastAsia"/>
                <w:b/>
                <w:iCs/>
                <w:sz w:val="24"/>
                <w:szCs w:val="24"/>
              </w:rPr>
              <w:t>序号</w:t>
            </w:r>
          </w:p>
        </w:tc>
        <w:tc>
          <w:tcPr>
            <w:tcW w:w="1398" w:type="dxa"/>
            <w:tcBorders>
              <w:top w:val="single" w:sz="12" w:space="0" w:color="auto"/>
              <w:left w:val="single" w:sz="6" w:space="0" w:color="auto"/>
              <w:bottom w:val="single" w:sz="6" w:space="0" w:color="auto"/>
              <w:right w:val="single" w:sz="6" w:space="0" w:color="auto"/>
              <w:tl2br w:val="nil"/>
              <w:tr2bl w:val="nil"/>
            </w:tcBorders>
          </w:tcPr>
          <w:p>
            <w:pPr>
              <w:pStyle w:val="170"/>
              <w:tabs>
                <w:tab w:val="left" w:pos="332"/>
              </w:tabs>
              <w:wordWrap w:val="0"/>
              <w:adjustRightInd w:val="0"/>
              <w:snapToGrid w:val="0"/>
              <w:spacing w:line="360" w:lineRule="auto"/>
              <w:jc w:val="center"/>
              <w:rPr>
                <w:rFonts w:cs="宋体"/>
                <w:b/>
                <w:iCs/>
                <w:sz w:val="24"/>
                <w:szCs w:val="24"/>
              </w:rPr>
            </w:pPr>
            <w:r>
              <w:rPr>
                <w:rFonts w:cs="宋体" w:hint="eastAsia"/>
                <w:b/>
                <w:iCs/>
                <w:sz w:val="24"/>
                <w:szCs w:val="24"/>
              </w:rPr>
              <w:t>评审内容</w:t>
            </w:r>
          </w:p>
        </w:tc>
        <w:tc>
          <w:tcPr>
            <w:tcW w:w="916" w:type="dxa"/>
            <w:tcBorders>
              <w:top w:val="single" w:sz="12" w:space="0" w:color="auto"/>
              <w:left w:val="single" w:sz="6" w:space="0" w:color="auto"/>
              <w:bottom w:val="single" w:sz="6" w:space="0" w:color="auto"/>
              <w:right w:val="single" w:sz="6" w:space="0" w:color="auto"/>
              <w:tl2br w:val="nil"/>
              <w:tr2bl w:val="nil"/>
            </w:tcBorders>
          </w:tcPr>
          <w:p>
            <w:pPr>
              <w:pStyle w:val="169"/>
              <w:widowControl/>
              <w:tabs>
                <w:tab w:val="left" w:pos="332"/>
              </w:tabs>
              <w:wordWrap w:val="0"/>
              <w:adjustRightInd w:val="0"/>
              <w:snapToGrid w:val="0"/>
              <w:spacing w:line="360" w:lineRule="auto"/>
              <w:jc w:val="center"/>
              <w:rPr>
                <w:rFonts w:cs="宋体"/>
                <w:b/>
                <w:iCs/>
                <w:sz w:val="24"/>
                <w:szCs w:val="24"/>
              </w:rPr>
            </w:pPr>
            <w:r>
              <w:rPr>
                <w:rFonts w:cs="宋体" w:hint="eastAsia"/>
                <w:b/>
                <w:iCs/>
                <w:sz w:val="24"/>
                <w:szCs w:val="24"/>
              </w:rPr>
              <w:t>分值</w:t>
            </w:r>
          </w:p>
        </w:tc>
        <w:tc>
          <w:tcPr>
            <w:tcW w:w="6807" w:type="dxa"/>
            <w:tcBorders>
              <w:top w:val="single" w:sz="12" w:space="0" w:color="auto"/>
              <w:left w:val="single" w:sz="6" w:space="0" w:color="auto"/>
              <w:bottom w:val="single" w:sz="6" w:space="0" w:color="auto"/>
              <w:right w:val="single" w:sz="12" w:space="0" w:color="auto"/>
              <w:tl2br w:val="nil"/>
              <w:tr2bl w:val="nil"/>
            </w:tcBorders>
          </w:tcPr>
          <w:p>
            <w:pPr>
              <w:pStyle w:val="168"/>
              <w:widowControl/>
              <w:tabs>
                <w:tab w:val="left" w:pos="332"/>
              </w:tabs>
              <w:wordWrap w:val="0"/>
              <w:adjustRightInd w:val="0"/>
              <w:snapToGrid w:val="0"/>
              <w:spacing w:line="360" w:lineRule="auto"/>
              <w:jc w:val="center"/>
              <w:rPr>
                <w:rFonts w:cs="宋体"/>
                <w:b/>
                <w:iCs/>
                <w:sz w:val="24"/>
                <w:szCs w:val="24"/>
              </w:rPr>
            </w:pPr>
            <w:r>
              <w:rPr>
                <w:rFonts w:cs="宋体" w:hint="eastAsia"/>
                <w:b/>
                <w:iCs/>
                <w:sz w:val="24"/>
                <w:szCs w:val="24"/>
              </w:rPr>
              <w:t>评分细则</w:t>
            </w:r>
          </w:p>
        </w:tc>
      </w:tr>
      <w:tr>
        <w:trPr>
          <w:trHeight w:val="520"/>
        </w:trPr>
        <w:tc>
          <w:tcPr>
            <w:tcW w:w="717" w:type="dxa"/>
            <w:tcBorders>
              <w:top w:val="single" w:sz="12" w:space="0" w:color="auto"/>
              <w:left w:val="single" w:sz="12" w:space="0" w:color="auto"/>
              <w:bottom w:val="single" w:sz="6" w:space="0" w:color="auto"/>
              <w:right w:val="single" w:sz="6" w:space="0" w:color="auto"/>
              <w:tl2br w:val="nil"/>
              <w:tr2bl w:val="nil"/>
            </w:tcBorders>
            <w:vAlign w:val="center"/>
          </w:tcPr>
          <w:p>
            <w:pPr>
              <w:pStyle w:val="167"/>
              <w:numPr>
                <w:ilvl w:val="0"/>
                <w:numId w:val="6"/>
              </w:numPr>
              <w:spacing w:line="360" w:lineRule="auto"/>
              <w:jc w:val="center"/>
              <w:rPr>
                <w:rFonts w:ascii="宋体" w:cs="宋体"/>
                <w:b/>
                <w:iCs/>
                <w:sz w:val="24"/>
                <w:szCs w:val="24"/>
              </w:rPr>
            </w:pPr>
          </w:p>
        </w:tc>
        <w:tc>
          <w:tcPr>
            <w:tcW w:w="1398" w:type="dxa"/>
            <w:tcBorders>
              <w:top w:val="single" w:sz="12" w:space="0" w:color="auto"/>
              <w:left w:val="single" w:sz="6" w:space="0" w:color="auto"/>
              <w:bottom w:val="single" w:sz="6" w:space="0" w:color="auto"/>
              <w:right w:val="single" w:sz="6" w:space="0" w:color="auto"/>
              <w:tl2br w:val="nil"/>
              <w:tr2bl w:val="nil"/>
            </w:tcBorders>
            <w:vAlign w:val="center"/>
          </w:tcPr>
          <w:p>
            <w:pPr>
              <w:pStyle w:val="166"/>
              <w:spacing w:line="360" w:lineRule="auto"/>
              <w:jc w:val="center"/>
              <w:rPr>
                <w:rFonts w:ascii="宋体" w:cs="宋体"/>
                <w:b/>
                <w:iCs/>
                <w:sz w:val="24"/>
                <w:szCs w:val="24"/>
              </w:rPr>
            </w:pPr>
            <w:r>
              <w:rPr>
                <w:rFonts w:ascii="宋体" w:cs="宋体" w:hint="eastAsia"/>
                <w:sz w:val="24"/>
                <w:szCs w:val="24"/>
              </w:rPr>
              <w:t>重要技术条款响应情况</w:t>
            </w:r>
          </w:p>
        </w:tc>
        <w:tc>
          <w:tcPr>
            <w:tcW w:w="916" w:type="dxa"/>
            <w:tcBorders>
              <w:top w:val="single" w:sz="12" w:space="0" w:color="auto"/>
              <w:left w:val="single" w:sz="6" w:space="0" w:color="auto"/>
              <w:bottom w:val="single" w:sz="6" w:space="0" w:color="auto"/>
              <w:right w:val="single" w:sz="6" w:space="0" w:color="auto"/>
              <w:tl2br w:val="nil"/>
              <w:tr2bl w:val="nil"/>
            </w:tcBorders>
            <w:vAlign w:val="center"/>
          </w:tcPr>
          <w:p>
            <w:pPr>
              <w:pStyle w:val="165"/>
              <w:widowControl w:val="0"/>
              <w:spacing w:line="360" w:lineRule="auto"/>
              <w:jc w:val="center"/>
              <w:rPr>
                <w:rFonts w:ascii="宋体" w:cs="宋体"/>
                <w:b/>
                <w:iCs/>
                <w:sz w:val="24"/>
                <w:szCs w:val="24"/>
              </w:rPr>
            </w:pPr>
            <w:r>
              <w:rPr>
                <w:rFonts w:ascii="宋体" w:cs="宋体"/>
                <w:sz w:val="24"/>
                <w:szCs w:val="24"/>
              </w:rPr>
              <w:t>26</w:t>
            </w:r>
            <w:r>
              <w:rPr>
                <w:rFonts w:ascii="宋体" w:cs="宋体" w:hint="eastAsia"/>
                <w:sz w:val="24"/>
                <w:szCs w:val="24"/>
              </w:rPr>
              <w:t>分</w:t>
            </w:r>
          </w:p>
        </w:tc>
        <w:tc>
          <w:tcPr>
            <w:tcW w:w="6807" w:type="dxa"/>
            <w:tcBorders>
              <w:top w:val="single" w:sz="12" w:space="0" w:color="auto"/>
              <w:left w:val="single" w:sz="6" w:space="0" w:color="auto"/>
              <w:bottom w:val="single" w:sz="6" w:space="0" w:color="auto"/>
              <w:right w:val="single" w:sz="12" w:space="0" w:color="auto"/>
              <w:tl2br w:val="nil"/>
              <w:tr2bl w:val="nil"/>
            </w:tcBorders>
            <w:vAlign w:val="center"/>
          </w:tcPr>
          <w:p>
            <w:pPr>
              <w:pStyle w:val="164"/>
              <w:spacing w:line="360" w:lineRule="auto"/>
              <w:rPr>
                <w:rFonts w:ascii="宋体" w:cs="宋体"/>
                <w:sz w:val="24"/>
                <w:szCs w:val="24"/>
              </w:rPr>
            </w:pPr>
            <w:r>
              <w:rPr>
                <w:rFonts w:ascii="宋体" w:cs="宋体" w:hint="eastAsia"/>
                <w:sz w:val="24"/>
                <w:szCs w:val="24"/>
              </w:rPr>
              <w:t>根据供应商对比选文件第三部分项目需求书中的“（二）技术参数”的重要技术条款（标注“▲”号的技术条款，共13项）的响应情况进行评分：全部响应得</w:t>
            </w:r>
            <w:r>
              <w:rPr>
                <w:rFonts w:ascii="宋体" w:cs="宋体"/>
                <w:sz w:val="24"/>
                <w:szCs w:val="24"/>
              </w:rPr>
              <w:t>26</w:t>
            </w:r>
            <w:r>
              <w:rPr>
                <w:rFonts w:ascii="宋体" w:cs="宋体" w:hint="eastAsia"/>
                <w:sz w:val="24"/>
                <w:szCs w:val="24"/>
              </w:rPr>
              <w:t>分，</w:t>
            </w:r>
            <w:r>
              <w:rPr>
                <w:rFonts w:ascii="宋体" w:cs="宋体"/>
                <w:sz w:val="24"/>
                <w:szCs w:val="24"/>
              </w:rPr>
              <w:t>每项满分2分，</w:t>
            </w:r>
            <w:r>
              <w:rPr>
                <w:rFonts w:ascii="宋体" w:cs="宋体" w:hint="eastAsia"/>
                <w:sz w:val="24"/>
                <w:szCs w:val="24"/>
              </w:rPr>
              <w:t>如有负偏离或未响应每一项扣</w:t>
            </w:r>
            <w:r>
              <w:rPr>
                <w:rFonts w:ascii="宋体" w:cs="宋体"/>
                <w:sz w:val="24"/>
                <w:szCs w:val="24"/>
              </w:rPr>
              <w:t>2</w:t>
            </w:r>
            <w:r>
              <w:rPr>
                <w:rFonts w:ascii="宋体" w:cs="宋体" w:hint="eastAsia"/>
                <w:sz w:val="24"/>
                <w:szCs w:val="24"/>
              </w:rPr>
              <w:t xml:space="preserve">分，扣完为止。 </w:t>
            </w:r>
          </w:p>
          <w:p>
            <w:pPr>
              <w:pStyle w:val="164"/>
              <w:spacing w:line="360" w:lineRule="auto"/>
              <w:rPr>
                <w:rFonts w:ascii="宋体" w:cs="宋体"/>
                <w:b/>
                <w:iCs/>
                <w:sz w:val="24"/>
                <w:szCs w:val="24"/>
              </w:rPr>
            </w:pPr>
            <w:r>
              <w:rPr>
                <w:rFonts w:ascii="宋体" w:cs="宋体" w:hint="eastAsia"/>
                <w:sz w:val="24"/>
                <w:szCs w:val="24"/>
              </w:rPr>
              <w:t>注：响应文件中提供投标产品彩页宣传资料或相应技术参数的厂家技术白皮书或使用说明书或质量认可材料或第三方机构出具的检验报告复印件或其他可证明具备相关功能的材料，加盖供应商公章，未按要求提供证明材料或技术指标负偏离或未响应比选文件要求的，相关评分项不得分。为便于评委评审，请供应商在证明材料中对所评审参数作出明显标记，并在《技术和服务要求响应偏离表》中载明所对应的页码。</w:t>
            </w:r>
          </w:p>
        </w:tc>
      </w:tr>
      <w:tr>
        <w:trPr>
          <w:trHeight w:val="424"/>
        </w:trPr>
        <w:tc>
          <w:tcPr>
            <w:tcW w:w="717" w:type="dxa"/>
            <w:tcBorders>
              <w:top w:val="single" w:sz="6" w:space="0" w:color="auto"/>
              <w:left w:val="single" w:sz="12" w:space="0" w:color="auto"/>
              <w:bottom w:val="single" w:sz="6" w:space="0" w:color="auto"/>
              <w:right w:val="single" w:sz="6" w:space="0" w:color="auto"/>
              <w:tl2br w:val="nil"/>
              <w:tr2bl w:val="nil"/>
            </w:tcBorders>
            <w:vAlign w:val="center"/>
          </w:tcPr>
          <w:p>
            <w:pPr>
              <w:pStyle w:val="163"/>
              <w:numPr>
                <w:ilvl w:val="0"/>
                <w:numId w:val="6"/>
              </w:numPr>
              <w:spacing w:line="360" w:lineRule="auto"/>
              <w:jc w:val="center"/>
              <w:rPr>
                <w:rFonts w:ascii="宋体" w:cs="宋体"/>
                <w:iCs/>
                <w:sz w:val="24"/>
                <w:szCs w:val="24"/>
              </w:rPr>
            </w:pPr>
          </w:p>
        </w:tc>
        <w:tc>
          <w:tcPr>
            <w:tcW w:w="1398" w:type="dxa"/>
            <w:tcBorders>
              <w:top w:val="single" w:sz="6" w:space="0" w:color="auto"/>
              <w:left w:val="single" w:sz="6" w:space="0" w:color="auto"/>
              <w:bottom w:val="single" w:sz="6" w:space="0" w:color="auto"/>
              <w:right w:val="single" w:sz="6" w:space="0" w:color="auto"/>
              <w:tl2br w:val="nil"/>
              <w:tr2bl w:val="nil"/>
            </w:tcBorders>
            <w:vAlign w:val="center"/>
          </w:tcPr>
          <w:p>
            <w:pPr>
              <w:pStyle w:val="162"/>
              <w:spacing w:line="360" w:lineRule="auto"/>
              <w:jc w:val="center"/>
              <w:rPr>
                <w:rFonts w:ascii="宋体" w:cs="宋体"/>
                <w:iCs/>
                <w:sz w:val="24"/>
                <w:szCs w:val="24"/>
              </w:rPr>
            </w:pPr>
            <w:r>
              <w:rPr>
                <w:rFonts w:ascii="宋体" w:cs="宋体" w:hint="eastAsia"/>
                <w:sz w:val="24"/>
                <w:szCs w:val="24"/>
              </w:rPr>
              <w:t>一般技术条款响应情况</w:t>
            </w:r>
          </w:p>
        </w:tc>
        <w:tc>
          <w:tcPr>
            <w:tcW w:w="916" w:type="dxa"/>
            <w:tcBorders>
              <w:top w:val="single" w:sz="6" w:space="0" w:color="auto"/>
              <w:left w:val="single" w:sz="6" w:space="0" w:color="auto"/>
              <w:bottom w:val="single" w:sz="6" w:space="0" w:color="auto"/>
              <w:right w:val="single" w:sz="6" w:space="0" w:color="auto"/>
              <w:tl2br w:val="nil"/>
              <w:tr2bl w:val="nil"/>
            </w:tcBorders>
            <w:vAlign w:val="center"/>
          </w:tcPr>
          <w:p>
            <w:pPr>
              <w:pStyle w:val="161"/>
              <w:spacing w:line="360" w:lineRule="auto"/>
              <w:jc w:val="center"/>
              <w:rPr>
                <w:rFonts w:ascii="宋体" w:cs="宋体"/>
                <w:iCs/>
                <w:sz w:val="24"/>
                <w:szCs w:val="24"/>
              </w:rPr>
            </w:pPr>
            <w:r>
              <w:rPr>
                <w:rFonts w:ascii="宋体" w:cs="宋体"/>
                <w:sz w:val="24"/>
                <w:szCs w:val="24"/>
              </w:rPr>
              <w:t>8</w:t>
            </w:r>
            <w:r>
              <w:rPr>
                <w:rFonts w:ascii="宋体" w:cs="宋体" w:hint="eastAsia"/>
                <w:iCs/>
                <w:sz w:val="24"/>
                <w:szCs w:val="24"/>
              </w:rPr>
              <w:t>分</w:t>
            </w:r>
          </w:p>
        </w:tc>
        <w:tc>
          <w:tcPr>
            <w:tcW w:w="6807" w:type="dxa"/>
            <w:tcBorders>
              <w:top w:val="single" w:sz="6" w:space="0" w:color="auto"/>
              <w:left w:val="single" w:sz="6" w:space="0" w:color="auto"/>
              <w:bottom w:val="single" w:sz="6" w:space="0" w:color="auto"/>
              <w:right w:val="single" w:sz="12" w:space="0" w:color="auto"/>
              <w:tl2br w:val="nil"/>
              <w:tr2bl w:val="nil"/>
            </w:tcBorders>
            <w:vAlign w:val="center"/>
          </w:tcPr>
          <w:p>
            <w:pPr>
              <w:pStyle w:val="160"/>
              <w:spacing w:line="360" w:lineRule="auto"/>
              <w:rPr>
                <w:rFonts w:ascii="宋体" w:cs="宋体"/>
                <w:sz w:val="24"/>
                <w:szCs w:val="24"/>
              </w:rPr>
            </w:pPr>
            <w:r>
              <w:rPr>
                <w:rFonts w:ascii="宋体" w:cs="宋体" w:hint="eastAsia"/>
                <w:sz w:val="24"/>
                <w:szCs w:val="24"/>
              </w:rPr>
              <w:t>根据供应商对比选文件第三部分项目需求书中的“（二）技术参数”的一般技术条款（非标注“★</w:t>
            </w:r>
            <w:r>
              <w:rPr>
                <w:rFonts w:ascii="宋体" w:cs="宋体" w:hint="eastAsia"/>
                <w:bCs/>
                <w:iCs/>
                <w:sz w:val="24"/>
                <w:szCs w:val="24"/>
              </w:rPr>
              <w:t>、</w:t>
            </w:r>
            <w:r>
              <w:rPr>
                <w:rFonts w:ascii="宋体" w:cs="宋体" w:hint="eastAsia"/>
                <w:sz w:val="24"/>
                <w:szCs w:val="24"/>
              </w:rPr>
              <w:t>▲”号的技术条款，共</w:t>
            </w:r>
            <w:r>
              <w:rPr>
                <w:rFonts w:ascii="宋体" w:cs="宋体"/>
                <w:sz w:val="24"/>
                <w:szCs w:val="24"/>
              </w:rPr>
              <w:t>8</w:t>
            </w:r>
            <w:r>
              <w:rPr>
                <w:rFonts w:ascii="宋体" w:cs="宋体" w:hint="eastAsia"/>
                <w:sz w:val="24"/>
                <w:szCs w:val="24"/>
              </w:rPr>
              <w:t>项）的响应情况进行评分：全部响应得</w:t>
            </w:r>
            <w:r>
              <w:rPr>
                <w:rFonts w:ascii="宋体" w:cs="宋体"/>
                <w:sz w:val="24"/>
                <w:szCs w:val="24"/>
              </w:rPr>
              <w:t>8</w:t>
            </w:r>
            <w:r>
              <w:rPr>
                <w:rFonts w:ascii="宋体" w:cs="宋体" w:hint="eastAsia"/>
                <w:sz w:val="24"/>
                <w:szCs w:val="24"/>
              </w:rPr>
              <w:t>分，</w:t>
            </w:r>
            <w:r>
              <w:rPr>
                <w:rFonts w:ascii="宋体" w:cs="宋体"/>
                <w:sz w:val="24"/>
                <w:szCs w:val="24"/>
              </w:rPr>
              <w:t>每项满分1分，</w:t>
            </w:r>
            <w:r>
              <w:rPr>
                <w:rFonts w:ascii="宋体" w:cs="宋体" w:hint="eastAsia"/>
                <w:sz w:val="24"/>
                <w:szCs w:val="24"/>
              </w:rPr>
              <w:t>如有负偏离或未响应每一项扣</w:t>
            </w:r>
            <w:r>
              <w:rPr>
                <w:rFonts w:ascii="宋体" w:cs="宋体"/>
                <w:sz w:val="24"/>
                <w:szCs w:val="24"/>
              </w:rPr>
              <w:t>1</w:t>
            </w:r>
            <w:r>
              <w:rPr>
                <w:rFonts w:ascii="宋体" w:cs="宋体" w:hint="eastAsia"/>
                <w:sz w:val="24"/>
                <w:szCs w:val="24"/>
              </w:rPr>
              <w:t>分，扣完为止。</w:t>
            </w:r>
          </w:p>
          <w:p>
            <w:pPr>
              <w:pStyle w:val="160"/>
              <w:spacing w:line="360" w:lineRule="auto"/>
              <w:rPr>
                <w:rFonts w:ascii="宋体" w:cs="宋体"/>
                <w:iCs/>
                <w:sz w:val="24"/>
                <w:szCs w:val="24"/>
              </w:rPr>
            </w:pPr>
            <w:r>
              <w:rPr>
                <w:rFonts w:ascii="宋体" w:cs="宋体" w:hint="eastAsia"/>
                <w:sz w:val="24"/>
                <w:szCs w:val="24"/>
              </w:rPr>
              <w:t>注：供应商按照响应文件格式提供《技术和服务要求响应偏离表》，填写响应情况，未填写的或参数不满足的均视为负偏离。</w:t>
            </w:r>
          </w:p>
        </w:tc>
      </w:tr>
      <w:tr>
        <w:trPr>
          <w:trHeight w:val="1851"/>
        </w:trPr>
        <w:tc>
          <w:tcPr>
            <w:tcW w:w="717" w:type="dxa"/>
            <w:tcBorders>
              <w:top w:val="single" w:sz="6" w:space="0" w:color="auto"/>
              <w:left w:val="single" w:sz="12" w:space="0" w:color="auto"/>
              <w:bottom w:val="single" w:sz="6" w:space="0" w:color="auto"/>
              <w:right w:val="single" w:sz="6" w:space="0" w:color="auto"/>
              <w:tl2br w:val="nil"/>
              <w:tr2bl w:val="nil"/>
            </w:tcBorders>
            <w:vAlign w:val="center"/>
          </w:tcPr>
          <w:p>
            <w:pPr>
              <w:pStyle w:val="159"/>
              <w:numPr>
                <w:ilvl w:val="0"/>
                <w:numId w:val="6"/>
              </w:numPr>
              <w:spacing w:line="360" w:lineRule="auto"/>
              <w:jc w:val="center"/>
              <w:rPr>
                <w:rFonts w:ascii="宋体" w:cs="宋体"/>
                <w:iCs/>
                <w:sz w:val="24"/>
                <w:szCs w:val="24"/>
              </w:rPr>
            </w:pPr>
          </w:p>
        </w:tc>
        <w:tc>
          <w:tcPr>
            <w:tcW w:w="1398" w:type="dxa"/>
            <w:tcBorders>
              <w:top w:val="single" w:sz="6" w:space="0" w:color="auto"/>
              <w:left w:val="single" w:sz="6" w:space="0" w:color="auto"/>
              <w:bottom w:val="single" w:sz="6" w:space="0" w:color="auto"/>
              <w:right w:val="single" w:sz="6" w:space="0" w:color="auto"/>
              <w:tl2br w:val="nil"/>
              <w:tr2bl w:val="nil"/>
            </w:tcBorders>
            <w:vAlign w:val="center"/>
          </w:tcPr>
          <w:p>
            <w:pPr>
              <w:pStyle w:val="158"/>
              <w:spacing w:line="360" w:lineRule="auto"/>
              <w:jc w:val="center"/>
              <w:rPr>
                <w:rFonts w:ascii="宋体" w:cs="宋体"/>
                <w:sz w:val="24"/>
                <w:szCs w:val="24"/>
              </w:rPr>
            </w:pPr>
            <w:r>
              <w:rPr>
                <w:rFonts w:ascii="宋体" w:cs="宋体" w:hint="eastAsia"/>
                <w:sz w:val="24"/>
                <w:szCs w:val="24"/>
              </w:rPr>
              <w:t>质量保障措施</w:t>
            </w:r>
          </w:p>
          <w:p>
            <w:pPr>
              <w:pStyle w:val="158"/>
              <w:spacing w:line="360" w:lineRule="auto"/>
              <w:jc w:val="center"/>
              <w:rPr>
                <w:rFonts w:ascii="宋体" w:cs="宋体"/>
                <w:iCs/>
                <w:sz w:val="24"/>
                <w:szCs w:val="24"/>
              </w:rPr>
            </w:pPr>
          </w:p>
        </w:tc>
        <w:tc>
          <w:tcPr>
            <w:tcW w:w="916" w:type="dxa"/>
            <w:tcBorders>
              <w:top w:val="single" w:sz="6" w:space="0" w:color="auto"/>
              <w:left w:val="single" w:sz="6" w:space="0" w:color="auto"/>
              <w:bottom w:val="single" w:sz="6" w:space="0" w:color="auto"/>
              <w:right w:val="single" w:sz="6" w:space="0" w:color="auto"/>
              <w:tl2br w:val="nil"/>
              <w:tr2bl w:val="nil"/>
            </w:tcBorders>
            <w:vAlign w:val="center"/>
          </w:tcPr>
          <w:p>
            <w:pPr>
              <w:pStyle w:val="157"/>
              <w:spacing w:line="360" w:lineRule="auto"/>
              <w:jc w:val="center"/>
              <w:rPr>
                <w:rFonts w:ascii="宋体" w:cs="宋体"/>
                <w:iCs/>
                <w:sz w:val="24"/>
                <w:szCs w:val="24"/>
              </w:rPr>
            </w:pPr>
            <w:r>
              <w:rPr>
                <w:rFonts w:ascii="宋体" w:cs="宋体" w:hint="eastAsia"/>
                <w:sz w:val="24"/>
                <w:szCs w:val="24"/>
              </w:rPr>
              <w:t>1</w:t>
            </w:r>
            <w:r>
              <w:rPr>
                <w:rFonts w:ascii="宋体" w:cs="宋体"/>
                <w:sz w:val="24"/>
                <w:szCs w:val="24"/>
              </w:rPr>
              <w:t>0</w:t>
            </w:r>
            <w:r>
              <w:rPr>
                <w:rFonts w:ascii="宋体" w:cs="宋体" w:hint="eastAsia"/>
                <w:sz w:val="24"/>
                <w:szCs w:val="24"/>
              </w:rPr>
              <w:t>分</w:t>
            </w:r>
          </w:p>
        </w:tc>
        <w:tc>
          <w:tcPr>
            <w:tcW w:w="6807" w:type="dxa"/>
            <w:tcBorders>
              <w:top w:val="single" w:sz="6" w:space="0" w:color="auto"/>
              <w:left w:val="single" w:sz="6" w:space="0" w:color="auto"/>
              <w:bottom w:val="single" w:sz="6" w:space="0" w:color="auto"/>
              <w:right w:val="single" w:sz="12" w:space="0" w:color="auto"/>
              <w:tl2br w:val="nil"/>
              <w:tr2bl w:val="nil"/>
            </w:tcBorders>
            <w:vAlign w:val="center"/>
          </w:tcPr>
          <w:p>
            <w:pPr>
              <w:pStyle w:val="156"/>
              <w:spacing w:line="360" w:lineRule="auto"/>
              <w:rPr>
                <w:rFonts w:ascii="宋体" w:cs="宋体"/>
                <w:sz w:val="24"/>
                <w:szCs w:val="24"/>
              </w:rPr>
            </w:pPr>
            <w:r>
              <w:rPr>
                <w:rFonts w:ascii="宋体" w:cs="宋体" w:hint="eastAsia"/>
                <w:sz w:val="24"/>
                <w:szCs w:val="24"/>
              </w:rPr>
              <w:t xml:space="preserve">供应商需提供质量保障措施方案，质量保障措施包括但不仅限于：①货物出厂、运输过程中的保护措施；②货物交货过程中的保护措施。 </w:t>
            </w:r>
          </w:p>
          <w:p>
            <w:pPr>
              <w:pStyle w:val="156"/>
              <w:spacing w:line="360" w:lineRule="auto"/>
              <w:rPr>
                <w:rFonts w:ascii="宋体" w:cs="宋体"/>
                <w:sz w:val="24"/>
                <w:szCs w:val="24"/>
              </w:rPr>
            </w:pPr>
            <w:r>
              <w:rPr>
                <w:rFonts w:ascii="宋体" w:cs="宋体" w:hint="eastAsia"/>
                <w:sz w:val="24"/>
                <w:szCs w:val="24"/>
              </w:rPr>
              <w:t>1.质量保障措施完整（包含货物出厂、运输过程中的保护措施和货物交货过程中的保护措施），时间节点安排合理，质量保证措施具体完善，科学可行的，得1</w:t>
            </w:r>
            <w:r>
              <w:rPr>
                <w:rFonts w:ascii="宋体" w:cs="宋体"/>
                <w:sz w:val="24"/>
                <w:szCs w:val="24"/>
              </w:rPr>
              <w:t>0</w:t>
            </w:r>
            <w:r>
              <w:rPr>
                <w:rFonts w:ascii="宋体" w:cs="宋体" w:hint="eastAsia"/>
                <w:sz w:val="24"/>
                <w:szCs w:val="24"/>
              </w:rPr>
              <w:t>分；</w:t>
            </w:r>
          </w:p>
          <w:p>
            <w:pPr>
              <w:pStyle w:val="156"/>
              <w:spacing w:line="360" w:lineRule="auto"/>
              <w:rPr>
                <w:rFonts w:ascii="宋体" w:cs="宋体"/>
                <w:sz w:val="24"/>
                <w:szCs w:val="24"/>
              </w:rPr>
            </w:pPr>
            <w:r>
              <w:rPr>
                <w:rFonts w:ascii="宋体" w:cs="宋体" w:hint="eastAsia"/>
                <w:sz w:val="24"/>
                <w:szCs w:val="24"/>
              </w:rPr>
              <w:t>2.质量保障措施完整（包含货物出厂、运输过程中的保护措施和货物交货过程中的保护措施），时间节点安排合理，质量保证措施具体，有可行性的，得8分；</w:t>
            </w:r>
          </w:p>
          <w:p>
            <w:pPr>
              <w:pStyle w:val="156"/>
              <w:spacing w:line="360" w:lineRule="auto"/>
              <w:rPr>
                <w:rFonts w:ascii="宋体" w:cs="宋体"/>
                <w:sz w:val="24"/>
                <w:szCs w:val="24"/>
              </w:rPr>
            </w:pPr>
            <w:r>
              <w:rPr>
                <w:rFonts w:ascii="宋体" w:cs="宋体" w:hint="eastAsia"/>
                <w:sz w:val="24"/>
                <w:szCs w:val="24"/>
              </w:rPr>
              <w:t>3.质量保障措施完整（包含货物出厂、运输过程中的保护措施和货物交货过程中的保护措施），时间节点安排不完全合理或质量保证措施不完全可行的，得4.5分；</w:t>
            </w:r>
          </w:p>
          <w:p>
            <w:pPr>
              <w:pStyle w:val="156"/>
              <w:spacing w:line="360" w:lineRule="auto"/>
              <w:rPr>
                <w:rFonts w:ascii="宋体" w:cs="宋体"/>
                <w:sz w:val="24"/>
                <w:szCs w:val="24"/>
              </w:rPr>
            </w:pPr>
            <w:r>
              <w:rPr>
                <w:rFonts w:ascii="宋体" w:cs="宋体" w:hint="eastAsia"/>
                <w:sz w:val="24"/>
                <w:szCs w:val="24"/>
              </w:rPr>
              <w:t>4.质量保障措施不完整的，得0.5分。</w:t>
            </w:r>
          </w:p>
          <w:p>
            <w:pPr>
              <w:pStyle w:val="156"/>
              <w:spacing w:line="360" w:lineRule="auto"/>
              <w:rPr>
                <w:rFonts w:ascii="宋体" w:cs="宋体"/>
                <w:iCs/>
                <w:sz w:val="24"/>
                <w:szCs w:val="24"/>
              </w:rPr>
            </w:pPr>
            <w:r>
              <w:rPr>
                <w:rFonts w:ascii="宋体" w:cs="宋体" w:hint="eastAsia"/>
                <w:sz w:val="24"/>
                <w:szCs w:val="24"/>
              </w:rPr>
              <w:t>注：响应文件未提供相关内容不得分。</w:t>
            </w:r>
          </w:p>
        </w:tc>
      </w:tr>
      <w:tr>
        <w:trPr>
          <w:trHeight w:val="651"/>
        </w:trPr>
        <w:tc>
          <w:tcPr>
            <w:tcW w:w="717" w:type="dxa"/>
            <w:tcBorders>
              <w:top w:val="single" w:sz="6" w:space="0" w:color="auto"/>
              <w:left w:val="single" w:sz="12" w:space="0" w:color="auto"/>
              <w:bottom w:val="single" w:sz="6" w:space="0" w:color="auto"/>
              <w:right w:val="single" w:sz="6" w:space="0" w:color="auto"/>
              <w:tl2br w:val="nil"/>
              <w:tr2bl w:val="nil"/>
            </w:tcBorders>
            <w:vAlign w:val="center"/>
          </w:tcPr>
          <w:p>
            <w:pPr>
              <w:pStyle w:val="155"/>
              <w:numPr>
                <w:ilvl w:val="0"/>
                <w:numId w:val="6"/>
              </w:numPr>
              <w:spacing w:line="360" w:lineRule="auto"/>
              <w:jc w:val="center"/>
              <w:rPr>
                <w:rFonts w:ascii="宋体" w:cs="宋体"/>
                <w:iCs/>
                <w:sz w:val="24"/>
                <w:szCs w:val="24"/>
              </w:rPr>
            </w:pPr>
          </w:p>
        </w:tc>
        <w:tc>
          <w:tcPr>
            <w:tcW w:w="1398" w:type="dxa"/>
            <w:tcBorders>
              <w:top w:val="single" w:sz="6" w:space="0" w:color="auto"/>
              <w:left w:val="single" w:sz="6" w:space="0" w:color="auto"/>
              <w:bottom w:val="single" w:sz="6" w:space="0" w:color="auto"/>
              <w:right w:val="single" w:sz="6" w:space="0" w:color="auto"/>
              <w:tl2br w:val="nil"/>
              <w:tr2bl w:val="nil"/>
            </w:tcBorders>
            <w:vAlign w:val="center"/>
          </w:tcPr>
          <w:p>
            <w:pPr>
              <w:pStyle w:val="154"/>
              <w:spacing w:line="360" w:lineRule="auto"/>
              <w:jc w:val="center"/>
              <w:rPr>
                <w:rFonts w:ascii="宋体" w:cs="宋体"/>
                <w:sz w:val="24"/>
                <w:szCs w:val="24"/>
              </w:rPr>
            </w:pPr>
            <w:r>
              <w:rPr>
                <w:rFonts w:ascii="宋体" w:cs="宋体" w:hint="eastAsia"/>
                <w:sz w:val="24"/>
                <w:szCs w:val="24"/>
              </w:rPr>
              <w:t>售后服务方案</w:t>
            </w:r>
          </w:p>
          <w:p>
            <w:pPr>
              <w:pStyle w:val="154"/>
              <w:spacing w:line="360" w:lineRule="auto"/>
              <w:jc w:val="center"/>
              <w:rPr>
                <w:rFonts w:ascii="宋体" w:cs="宋体"/>
                <w:iCs/>
                <w:sz w:val="24"/>
                <w:szCs w:val="24"/>
              </w:rPr>
            </w:pPr>
          </w:p>
        </w:tc>
        <w:tc>
          <w:tcPr>
            <w:tcW w:w="916" w:type="dxa"/>
            <w:tcBorders>
              <w:top w:val="single" w:sz="6" w:space="0" w:color="auto"/>
              <w:left w:val="single" w:sz="6" w:space="0" w:color="auto"/>
              <w:bottom w:val="single" w:sz="6" w:space="0" w:color="auto"/>
              <w:right w:val="single" w:sz="6" w:space="0" w:color="auto"/>
              <w:tl2br w:val="nil"/>
              <w:tr2bl w:val="nil"/>
            </w:tcBorders>
            <w:vAlign w:val="center"/>
          </w:tcPr>
          <w:p>
            <w:pPr>
              <w:pStyle w:val="153"/>
              <w:spacing w:line="360" w:lineRule="auto"/>
              <w:jc w:val="center"/>
              <w:rPr>
                <w:rFonts w:ascii="宋体" w:cs="宋体"/>
                <w:iCs/>
                <w:sz w:val="24"/>
                <w:szCs w:val="24"/>
              </w:rPr>
            </w:pPr>
            <w:r>
              <w:rPr>
                <w:rFonts w:ascii="宋体" w:cs="宋体"/>
                <w:sz w:val="24"/>
                <w:szCs w:val="24"/>
              </w:rPr>
              <w:t>20</w:t>
            </w:r>
            <w:r>
              <w:rPr>
                <w:rFonts w:ascii="宋体" w:cs="宋体" w:hint="eastAsia"/>
                <w:sz w:val="24"/>
                <w:szCs w:val="24"/>
              </w:rPr>
              <w:t>分</w:t>
            </w:r>
          </w:p>
        </w:tc>
        <w:tc>
          <w:tcPr>
            <w:tcW w:w="6807" w:type="dxa"/>
            <w:tcBorders>
              <w:top w:val="single" w:sz="6" w:space="0" w:color="auto"/>
              <w:left w:val="single" w:sz="6" w:space="0" w:color="auto"/>
              <w:bottom w:val="single" w:sz="6" w:space="0" w:color="auto"/>
              <w:right w:val="single" w:sz="12" w:space="0" w:color="auto"/>
              <w:tl2br w:val="nil"/>
              <w:tr2bl w:val="nil"/>
            </w:tcBorders>
            <w:vAlign w:val="center"/>
          </w:tcPr>
          <w:p>
            <w:pPr>
              <w:pStyle w:val="152"/>
              <w:spacing w:line="360" w:lineRule="auto"/>
              <w:rPr>
                <w:rFonts w:ascii="宋体" w:cs="宋体"/>
                <w:sz w:val="24"/>
                <w:szCs w:val="24"/>
              </w:rPr>
            </w:pPr>
            <w:r>
              <w:rPr>
                <w:rFonts w:ascii="宋体" w:cs="宋体" w:hint="eastAsia"/>
                <w:sz w:val="24"/>
                <w:szCs w:val="24"/>
              </w:rPr>
              <w:t>根据供应商对本项目的售后服务方案：含质保期、售后服务承诺、售后服务技术人员情况、培训计划、响应时间及处理措施等进行综合评审：</w:t>
            </w:r>
          </w:p>
          <w:p>
            <w:pPr>
              <w:pStyle w:val="152"/>
              <w:spacing w:line="360" w:lineRule="auto"/>
              <w:rPr>
                <w:rFonts w:ascii="宋体" w:cs="宋体"/>
                <w:sz w:val="24"/>
                <w:szCs w:val="24"/>
              </w:rPr>
            </w:pPr>
            <w:r>
              <w:rPr>
                <w:rFonts w:ascii="宋体" w:cs="宋体" w:hint="eastAsia"/>
                <w:sz w:val="24"/>
                <w:szCs w:val="24"/>
              </w:rPr>
              <w:t>1.售后服务方案详细完整，包含质保期、售后服务承诺、售后服务技术人员情况、培训计划、响应时间及处理措施等内容，方案内容科学合理、具备操作性，优于采购需求，得</w:t>
            </w:r>
            <w:r>
              <w:rPr>
                <w:rFonts w:ascii="宋体" w:cs="宋体"/>
                <w:sz w:val="24"/>
                <w:szCs w:val="24"/>
              </w:rPr>
              <w:t>20</w:t>
            </w:r>
            <w:r>
              <w:rPr>
                <w:rFonts w:ascii="宋体" w:cs="宋体" w:hint="eastAsia"/>
                <w:sz w:val="24"/>
                <w:szCs w:val="24"/>
              </w:rPr>
              <w:t>分；</w:t>
            </w:r>
          </w:p>
          <w:p>
            <w:pPr>
              <w:pStyle w:val="152"/>
              <w:spacing w:line="360" w:lineRule="auto"/>
              <w:rPr>
                <w:rFonts w:ascii="宋体" w:cs="宋体"/>
                <w:sz w:val="24"/>
                <w:szCs w:val="24"/>
              </w:rPr>
            </w:pPr>
            <w:r>
              <w:rPr>
                <w:rFonts w:ascii="宋体" w:cs="宋体" w:hint="eastAsia"/>
                <w:sz w:val="24"/>
                <w:szCs w:val="24"/>
              </w:rPr>
              <w:t>2.售后服务方案具体，包含质保期、售后服务承诺、售后服务技术人员情况、培训计划、响应时间及处理措施等内容，方案内容合理、有操作性，满足采购需求，得</w:t>
            </w:r>
            <w:r>
              <w:rPr>
                <w:rFonts w:ascii="宋体" w:cs="宋体"/>
                <w:sz w:val="24"/>
                <w:szCs w:val="24"/>
              </w:rPr>
              <w:t>14</w:t>
            </w:r>
            <w:r>
              <w:rPr>
                <w:rFonts w:ascii="宋体" w:cs="宋体" w:hint="eastAsia"/>
                <w:sz w:val="24"/>
                <w:szCs w:val="24"/>
              </w:rPr>
              <w:t>分；</w:t>
            </w:r>
          </w:p>
          <w:p>
            <w:pPr>
              <w:pStyle w:val="152"/>
              <w:spacing w:line="360" w:lineRule="auto"/>
              <w:rPr>
                <w:rFonts w:ascii="宋体" w:cs="宋体"/>
                <w:sz w:val="24"/>
                <w:szCs w:val="24"/>
              </w:rPr>
            </w:pPr>
            <w:r>
              <w:rPr>
                <w:rFonts w:ascii="宋体" w:cs="宋体" w:hint="eastAsia"/>
                <w:sz w:val="24"/>
                <w:szCs w:val="24"/>
              </w:rPr>
              <w:t>3.售后服务方案具体，包含质保期、售后服务承诺、售后服务技术人员情况、培训计划、响应时间及处理措施等内容，方案内容有合理性、有一定操作性，但不够完善，得</w:t>
            </w:r>
            <w:r>
              <w:rPr>
                <w:rFonts w:ascii="宋体" w:cs="宋体"/>
                <w:sz w:val="24"/>
                <w:szCs w:val="24"/>
              </w:rPr>
              <w:t>7</w:t>
            </w:r>
            <w:r>
              <w:rPr>
                <w:rFonts w:ascii="宋体" w:cs="宋体" w:hint="eastAsia"/>
                <w:sz w:val="24"/>
                <w:szCs w:val="24"/>
              </w:rPr>
              <w:t>分；</w:t>
            </w:r>
          </w:p>
          <w:p>
            <w:pPr>
              <w:pStyle w:val="152"/>
              <w:spacing w:line="360" w:lineRule="auto"/>
              <w:rPr>
                <w:rFonts w:ascii="宋体" w:cs="宋体"/>
                <w:sz w:val="24"/>
                <w:szCs w:val="24"/>
              </w:rPr>
            </w:pPr>
            <w:r>
              <w:rPr>
                <w:rFonts w:ascii="宋体" w:cs="宋体" w:hint="eastAsia"/>
                <w:sz w:val="24"/>
                <w:szCs w:val="24"/>
              </w:rPr>
              <w:t>4.售后服务方案缺漏，方案内容不合理，无法满足采购需求，得1分。</w:t>
            </w:r>
          </w:p>
          <w:p>
            <w:pPr>
              <w:pStyle w:val="152"/>
              <w:spacing w:line="360" w:lineRule="auto"/>
              <w:rPr>
                <w:rFonts w:ascii="宋体" w:cs="宋体"/>
                <w:iCs/>
                <w:sz w:val="24"/>
                <w:szCs w:val="24"/>
              </w:rPr>
            </w:pPr>
            <w:r>
              <w:rPr>
                <w:rFonts w:ascii="宋体" w:cs="宋体" w:hint="eastAsia"/>
                <w:sz w:val="24"/>
                <w:szCs w:val="24"/>
              </w:rPr>
              <w:t>注：响应文件未提供相关内容不得分。</w:t>
            </w:r>
          </w:p>
        </w:tc>
      </w:tr>
      <w:tr>
        <w:trPr>
          <w:trHeight w:val="650"/>
        </w:trPr>
        <w:tc>
          <w:tcPr>
            <w:tcW w:w="717" w:type="dxa"/>
            <w:tcBorders>
              <w:top w:val="single" w:sz="6" w:space="0" w:color="auto"/>
              <w:left w:val="single" w:sz="12" w:space="0" w:color="auto"/>
              <w:bottom w:val="single" w:sz="6" w:space="0" w:color="auto"/>
              <w:right w:val="single" w:sz="6" w:space="0" w:color="auto"/>
              <w:tl2br w:val="nil"/>
              <w:tr2bl w:val="nil"/>
            </w:tcBorders>
            <w:vAlign w:val="center"/>
          </w:tcPr>
          <w:p>
            <w:pPr>
              <w:pStyle w:val="155"/>
              <w:numPr>
                <w:ilvl w:val="0"/>
                <w:numId w:val="6"/>
              </w:numPr>
              <w:spacing w:line="360" w:lineRule="auto"/>
              <w:jc w:val="center"/>
              <w:rPr>
                <w:rFonts w:ascii="宋体" w:cs="宋体"/>
                <w:iCs/>
                <w:sz w:val="24"/>
                <w:szCs w:val="24"/>
              </w:rPr>
            </w:pPr>
          </w:p>
        </w:tc>
        <w:tc>
          <w:tcPr>
            <w:tcW w:w="1398" w:type="dxa"/>
            <w:tcBorders>
              <w:top w:val="single" w:sz="6" w:space="0" w:color="auto"/>
              <w:left w:val="single" w:sz="6" w:space="0" w:color="auto"/>
              <w:bottom w:val="single" w:sz="6" w:space="0" w:color="auto"/>
              <w:right w:val="single" w:sz="6" w:space="0" w:color="auto"/>
              <w:tl2br w:val="nil"/>
              <w:tr2bl w:val="nil"/>
            </w:tcBorders>
            <w:vAlign w:val="center"/>
          </w:tcPr>
          <w:p>
            <w:pPr>
              <w:pStyle w:val="154"/>
              <w:spacing w:line="360" w:lineRule="auto"/>
              <w:jc w:val="center"/>
              <w:rPr>
                <w:rFonts w:ascii="宋体" w:cs="宋体"/>
                <w:sz w:val="24"/>
                <w:szCs w:val="24"/>
              </w:rPr>
            </w:pPr>
            <w:r>
              <w:rPr>
                <w:rFonts w:ascii="宋体" w:cs="宋体"/>
                <w:sz w:val="24"/>
                <w:szCs w:val="24"/>
              </w:rPr>
              <w:t>附加项目</w:t>
            </w:r>
          </w:p>
        </w:tc>
        <w:tc>
          <w:tcPr>
            <w:tcW w:w="916" w:type="dxa"/>
            <w:tcBorders>
              <w:top w:val="single" w:sz="6" w:space="0" w:color="auto"/>
              <w:left w:val="single" w:sz="6" w:space="0" w:color="auto"/>
              <w:bottom w:val="single" w:sz="6" w:space="0" w:color="auto"/>
              <w:right w:val="single" w:sz="6" w:space="0" w:color="auto"/>
              <w:tl2br w:val="nil"/>
              <w:tr2bl w:val="nil"/>
            </w:tcBorders>
            <w:vAlign w:val="center"/>
          </w:tcPr>
          <w:p>
            <w:pPr>
              <w:pStyle w:val="153"/>
              <w:spacing w:line="360" w:lineRule="auto"/>
              <w:jc w:val="center"/>
              <w:rPr>
                <w:rFonts w:ascii="宋体" w:cs="宋体"/>
                <w:sz w:val="24"/>
                <w:szCs w:val="24"/>
              </w:rPr>
            </w:pPr>
            <w:r>
              <w:rPr>
                <w:rFonts w:ascii="宋体" w:cs="宋体"/>
                <w:sz w:val="24"/>
                <w:szCs w:val="24"/>
              </w:rPr>
              <w:t>6分</w:t>
            </w:r>
          </w:p>
        </w:tc>
        <w:tc>
          <w:tcPr>
            <w:tcW w:w="6807" w:type="dxa"/>
            <w:tcBorders>
              <w:top w:val="single" w:sz="6" w:space="0" w:color="auto"/>
              <w:left w:val="single" w:sz="6" w:space="0" w:color="auto"/>
              <w:bottom w:val="single" w:sz="6" w:space="0" w:color="auto"/>
              <w:right w:val="single" w:sz="12" w:space="0" w:color="auto"/>
              <w:tl2br w:val="nil"/>
              <w:tr2bl w:val="nil"/>
            </w:tcBorders>
            <w:vAlign w:val="center"/>
          </w:tcPr>
          <w:p>
            <w:pPr>
              <w:pStyle w:val="152"/>
              <w:spacing w:line="360" w:lineRule="auto"/>
              <w:rPr>
                <w:rFonts w:ascii="宋体" w:cs="宋体"/>
                <w:sz w:val="24"/>
                <w:szCs w:val="24"/>
              </w:rPr>
            </w:pPr>
            <w:r>
              <w:rPr>
                <w:rFonts w:ascii="宋体" w:cs="宋体" w:hint="eastAsia"/>
                <w:sz w:val="24"/>
                <w:szCs w:val="24"/>
              </w:rPr>
              <w:t>考虑采购人后续潜在的业务工作需要，除第三部分项目需求书中“（二）技术参数”要求的功能外，响应产品如</w:t>
            </w:r>
            <w:r>
              <w:rPr>
                <w:rFonts w:ascii="宋体" w:cs="宋体"/>
                <w:sz w:val="24"/>
                <w:szCs w:val="24"/>
              </w:rPr>
              <w:t>具备</w:t>
            </w:r>
            <w:r>
              <w:rPr>
                <w:rFonts w:ascii="宋体" w:cs="宋体" w:hint="eastAsia"/>
                <w:sz w:val="24"/>
                <w:szCs w:val="24"/>
              </w:rPr>
              <w:t>以下功能的，可予以加分（须提供产品说明书、公开宣传页或其他可证明具有相关功能的材料）：</w:t>
            </w:r>
          </w:p>
          <w:p>
            <w:pPr>
              <w:pStyle w:val="152"/>
              <w:spacing w:line="360" w:lineRule="auto"/>
              <w:rPr>
                <w:rFonts w:ascii="宋体" w:cs="宋体"/>
                <w:sz w:val="24"/>
                <w:szCs w:val="24"/>
              </w:rPr>
            </w:pPr>
            <w:r>
              <w:rPr>
                <w:rFonts w:ascii="宋体" w:cs="宋体" w:hint="eastAsia"/>
                <w:sz w:val="24"/>
                <w:szCs w:val="24"/>
              </w:rPr>
              <w:t>1.有贵金属如金、银等检测功能加2分。</w:t>
            </w:r>
            <w:bookmarkStart w:id="90" w:name="_GoBack"/>
            <w:bookmarkEnd w:id="90"/>
          </w:p>
          <w:p>
            <w:pPr>
              <w:pStyle w:val="152"/>
              <w:spacing w:line="360" w:lineRule="auto"/>
              <w:rPr>
                <w:rFonts w:ascii="宋体" w:cs="宋体"/>
                <w:sz w:val="24"/>
                <w:szCs w:val="24"/>
              </w:rPr>
            </w:pPr>
            <w:r>
              <w:rPr>
                <w:rFonts w:ascii="宋体" w:cs="宋体" w:hint="eastAsia"/>
                <w:sz w:val="24"/>
                <w:szCs w:val="24"/>
              </w:rPr>
              <w:t>2.有矿石检测功能加2分。</w:t>
            </w:r>
          </w:p>
          <w:p>
            <w:pPr>
              <w:pStyle w:val="152"/>
              <w:spacing w:line="360" w:lineRule="auto"/>
              <w:rPr>
                <w:rFonts w:ascii="宋体" w:cs="宋体"/>
                <w:sz w:val="24"/>
                <w:szCs w:val="24"/>
              </w:rPr>
            </w:pPr>
            <w:r>
              <w:rPr>
                <w:rFonts w:ascii="宋体" w:cs="宋体" w:hint="eastAsia"/>
                <w:sz w:val="24"/>
                <w:szCs w:val="24"/>
              </w:rPr>
              <w:t>3.有土壤重金属检测功能加2分。</w:t>
            </w:r>
          </w:p>
          <w:p>
            <w:pPr>
              <w:pStyle w:val="152"/>
              <w:spacing w:line="360" w:lineRule="auto"/>
              <w:rPr>
                <w:rFonts w:ascii="宋体" w:cs="宋体"/>
                <w:sz w:val="24"/>
                <w:szCs w:val="24"/>
              </w:rPr>
            </w:pPr>
          </w:p>
        </w:tc>
      </w:tr>
    </w:tbl>
    <w:p>
      <w:pPr>
        <w:pStyle w:val="172"/>
        <w:wordWrap w:val="0"/>
        <w:snapToGrid w:val="0"/>
        <w:spacing w:line="360" w:lineRule="auto"/>
        <w:jc w:val="both"/>
        <w:rPr>
          <w:rFonts w:ascii="宋体" w:cs="宋体"/>
          <w:iCs/>
          <w:sz w:val="24"/>
          <w:szCs w:val="24"/>
        </w:rPr>
      </w:pPr>
      <w:bookmarkStart w:id="91" w:name="_Toc7326"/>
    </w:p>
    <w:p>
      <w:pPr>
        <w:pStyle w:val="172"/>
        <w:wordWrap w:val="0"/>
        <w:snapToGrid w:val="0"/>
        <w:spacing w:line="360" w:lineRule="auto"/>
        <w:jc w:val="both"/>
        <w:rPr>
          <w:rFonts w:ascii="宋体" w:cs="宋体"/>
          <w:iCs/>
          <w:sz w:val="24"/>
          <w:szCs w:val="24"/>
        </w:rPr>
      </w:pPr>
      <w:bookmarkStart w:id="92" w:name="_Toc12113"/>
      <w:bookmarkStart w:id="93" w:name="_Toc29042"/>
      <w:bookmarkStart w:id="94" w:name="_Toc6595"/>
      <w:r>
        <w:rPr>
          <w:rFonts w:ascii="宋体" w:cs="宋体" w:hint="eastAsia"/>
          <w:iCs/>
          <w:sz w:val="24"/>
          <w:szCs w:val="24"/>
        </w:rPr>
        <w:t>经济评审表（30分）</w:t>
      </w:r>
      <w:bookmarkEnd w:id="91"/>
      <w:bookmarkEnd w:id="92"/>
      <w:bookmarkEnd w:id="93"/>
      <w:bookmarkEnd w:id="94"/>
    </w:p>
    <w:tbl>
      <w:tblPr>
        <w:jc w:val="center"/>
        <w:tblW w:w="99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764"/>
        <w:gridCol w:w="1345"/>
        <w:gridCol w:w="900"/>
        <w:gridCol w:w="6901"/>
      </w:tblGrid>
      <w:tr>
        <w:trPr>
          <w:trHeight w:val="536"/>
        </w:trPr>
        <w:tc>
          <w:tcPr>
            <w:tcW w:w="764" w:type="dxa"/>
            <w:tcBorders>
              <w:top w:val="single" w:sz="12" w:space="0" w:color="auto"/>
              <w:left w:val="single" w:sz="12" w:space="0" w:color="auto"/>
              <w:bottom w:val="single" w:sz="8" w:space="0" w:color="auto"/>
              <w:right w:val="single" w:sz="6" w:space="0" w:color="auto"/>
            </w:tcBorders>
            <w:noWrap/>
            <w:vAlign w:val="center"/>
          </w:tcPr>
          <w:p>
            <w:pPr>
              <w:pStyle w:val="173"/>
              <w:widowControl/>
              <w:tabs>
                <w:tab w:val="left" w:pos="332"/>
              </w:tabs>
              <w:wordWrap w:val="0"/>
              <w:adjustRightInd w:val="0"/>
              <w:snapToGrid w:val="0"/>
              <w:spacing w:line="360" w:lineRule="auto"/>
              <w:jc w:val="center"/>
              <w:rPr>
                <w:rFonts w:cs="宋体"/>
                <w:iCs/>
                <w:kern w:val="0"/>
                <w:sz w:val="24"/>
                <w:szCs w:val="24"/>
              </w:rPr>
            </w:pPr>
            <w:r>
              <w:rPr>
                <w:rFonts w:cs="宋体" w:hint="eastAsia"/>
                <w:b/>
                <w:iCs/>
                <w:sz w:val="24"/>
                <w:szCs w:val="24"/>
              </w:rPr>
              <w:t>序号</w:t>
            </w:r>
          </w:p>
        </w:tc>
        <w:tc>
          <w:tcPr>
            <w:tcW w:w="1345" w:type="dxa"/>
            <w:tcBorders>
              <w:top w:val="single" w:sz="12" w:space="0" w:color="auto"/>
              <w:left w:val="single" w:sz="6" w:space="0" w:color="auto"/>
              <w:bottom w:val="single" w:sz="8" w:space="0" w:color="auto"/>
              <w:right w:val="single" w:sz="6" w:space="0" w:color="auto"/>
            </w:tcBorders>
            <w:noWrap/>
            <w:vAlign w:val="center"/>
          </w:tcPr>
          <w:p>
            <w:pPr>
              <w:pStyle w:val="173"/>
              <w:widowControl/>
              <w:tabs>
                <w:tab w:val="left" w:pos="332"/>
              </w:tabs>
              <w:wordWrap w:val="0"/>
              <w:adjustRightInd w:val="0"/>
              <w:snapToGrid w:val="0"/>
              <w:spacing w:line="360" w:lineRule="auto"/>
              <w:jc w:val="center"/>
              <w:rPr>
                <w:rFonts w:cs="宋体"/>
                <w:iCs/>
                <w:kern w:val="0"/>
                <w:sz w:val="24"/>
                <w:szCs w:val="24"/>
              </w:rPr>
            </w:pPr>
            <w:r>
              <w:rPr>
                <w:rFonts w:cs="宋体" w:hint="eastAsia"/>
                <w:b/>
                <w:iCs/>
                <w:sz w:val="24"/>
                <w:szCs w:val="24"/>
              </w:rPr>
              <w:t>评审内容</w:t>
            </w:r>
          </w:p>
        </w:tc>
        <w:tc>
          <w:tcPr>
            <w:tcW w:w="900" w:type="dxa"/>
            <w:tcBorders>
              <w:top w:val="single" w:sz="12" w:space="0" w:color="auto"/>
              <w:left w:val="single" w:sz="6" w:space="0" w:color="auto"/>
              <w:bottom w:val="single" w:sz="8" w:space="0" w:color="auto"/>
              <w:right w:val="single" w:sz="6" w:space="0" w:color="auto"/>
            </w:tcBorders>
            <w:noWrap/>
            <w:vAlign w:val="center"/>
          </w:tcPr>
          <w:p>
            <w:pPr>
              <w:pStyle w:val="173"/>
              <w:widowControl/>
              <w:tabs>
                <w:tab w:val="left" w:pos="332"/>
              </w:tabs>
              <w:wordWrap w:val="0"/>
              <w:adjustRightInd w:val="0"/>
              <w:snapToGrid w:val="0"/>
              <w:spacing w:line="360" w:lineRule="auto"/>
              <w:jc w:val="center"/>
              <w:rPr>
                <w:rFonts w:cs="宋体"/>
                <w:iCs/>
                <w:kern w:val="0"/>
                <w:sz w:val="24"/>
                <w:szCs w:val="24"/>
              </w:rPr>
            </w:pPr>
            <w:r>
              <w:rPr>
                <w:rFonts w:cs="宋体" w:hint="eastAsia"/>
                <w:b/>
                <w:iCs/>
                <w:sz w:val="24"/>
                <w:szCs w:val="24"/>
              </w:rPr>
              <w:t>分值</w:t>
            </w:r>
          </w:p>
        </w:tc>
        <w:tc>
          <w:tcPr>
            <w:tcW w:w="6901" w:type="dxa"/>
            <w:tcBorders>
              <w:top w:val="single" w:sz="12" w:space="0" w:color="auto"/>
              <w:left w:val="single" w:sz="6" w:space="0" w:color="auto"/>
              <w:bottom w:val="single" w:sz="8" w:space="0" w:color="auto"/>
              <w:right w:val="single" w:sz="12" w:space="0" w:color="auto"/>
            </w:tcBorders>
            <w:noWrap/>
            <w:vAlign w:val="center"/>
          </w:tcPr>
          <w:p>
            <w:pPr>
              <w:pStyle w:val="173"/>
              <w:widowControl/>
              <w:tabs>
                <w:tab w:val="left" w:pos="332"/>
              </w:tabs>
              <w:wordWrap w:val="0"/>
              <w:adjustRightInd w:val="0"/>
              <w:snapToGrid w:val="0"/>
              <w:spacing w:line="360" w:lineRule="auto"/>
              <w:jc w:val="center"/>
              <w:rPr>
                <w:rFonts w:cs="宋体"/>
                <w:iCs/>
                <w:kern w:val="0"/>
                <w:sz w:val="24"/>
                <w:szCs w:val="24"/>
              </w:rPr>
            </w:pPr>
            <w:r>
              <w:rPr>
                <w:rFonts w:cs="宋体" w:hint="eastAsia"/>
                <w:b/>
                <w:iCs/>
                <w:sz w:val="24"/>
                <w:szCs w:val="24"/>
              </w:rPr>
              <w:t>评分细则</w:t>
            </w:r>
          </w:p>
        </w:tc>
      </w:tr>
      <w:tr>
        <w:trPr>
          <w:trHeight w:val="536"/>
        </w:trPr>
        <w:tc>
          <w:tcPr>
            <w:tcW w:w="764" w:type="dxa"/>
            <w:tcBorders>
              <w:top w:val="single" w:sz="8" w:space="0" w:color="auto"/>
              <w:left w:val="single" w:sz="12" w:space="0" w:color="auto"/>
              <w:bottom w:val="single" w:sz="12" w:space="0" w:color="auto"/>
              <w:right w:val="single" w:sz="6" w:space="0" w:color="auto"/>
            </w:tcBorders>
            <w:noWrap/>
            <w:vAlign w:val="center"/>
          </w:tcPr>
          <w:p>
            <w:pPr>
              <w:pStyle w:val="174"/>
              <w:wordWrap w:val="0"/>
              <w:spacing w:line="360" w:lineRule="auto"/>
              <w:jc w:val="center"/>
              <w:rPr>
                <w:rFonts w:ascii="宋体" w:cs="宋体"/>
                <w:b/>
                <w:iCs/>
                <w:sz w:val="24"/>
                <w:szCs w:val="24"/>
              </w:rPr>
            </w:pPr>
            <w:r>
              <w:rPr>
                <w:rFonts w:ascii="宋体" w:cs="宋体" w:hint="eastAsia"/>
                <w:iCs/>
                <w:sz w:val="24"/>
                <w:szCs w:val="24"/>
              </w:rPr>
              <w:t>1</w:t>
            </w:r>
          </w:p>
        </w:tc>
        <w:tc>
          <w:tcPr>
            <w:tcW w:w="1345" w:type="dxa"/>
            <w:tcBorders>
              <w:top w:val="single" w:sz="8" w:space="0" w:color="auto"/>
              <w:left w:val="single" w:sz="6" w:space="0" w:color="auto"/>
              <w:bottom w:val="single" w:sz="12" w:space="0" w:color="auto"/>
              <w:right w:val="single" w:sz="6" w:space="0" w:color="auto"/>
            </w:tcBorders>
            <w:noWrap/>
            <w:vAlign w:val="center"/>
          </w:tcPr>
          <w:p>
            <w:pPr>
              <w:pStyle w:val="173"/>
              <w:wordWrap w:val="0"/>
              <w:adjustRightInd w:val="0"/>
              <w:snapToGrid w:val="0"/>
              <w:spacing w:line="360" w:lineRule="auto"/>
              <w:jc w:val="center"/>
              <w:rPr>
                <w:rFonts w:cs="宋体"/>
                <w:b/>
                <w:iCs/>
                <w:sz w:val="24"/>
                <w:szCs w:val="24"/>
              </w:rPr>
            </w:pPr>
            <w:r>
              <w:rPr>
                <w:rFonts w:cs="宋体" w:hint="eastAsia"/>
                <w:iCs/>
                <w:kern w:val="0"/>
                <w:sz w:val="24"/>
                <w:szCs w:val="24"/>
              </w:rPr>
              <w:t>投标报价</w:t>
            </w:r>
          </w:p>
        </w:tc>
        <w:tc>
          <w:tcPr>
            <w:tcW w:w="900" w:type="dxa"/>
            <w:tcBorders>
              <w:top w:val="single" w:sz="8" w:space="0" w:color="auto"/>
              <w:left w:val="single" w:sz="6" w:space="0" w:color="auto"/>
              <w:bottom w:val="single" w:sz="12" w:space="0" w:color="auto"/>
              <w:right w:val="single" w:sz="6" w:space="0" w:color="auto"/>
            </w:tcBorders>
            <w:noWrap/>
            <w:vAlign w:val="center"/>
          </w:tcPr>
          <w:p>
            <w:pPr>
              <w:pStyle w:val="174"/>
              <w:wordWrap w:val="0"/>
              <w:spacing w:line="360" w:lineRule="auto"/>
              <w:jc w:val="center"/>
              <w:rPr>
                <w:rFonts w:ascii="宋体" w:cs="宋体"/>
                <w:b/>
                <w:iCs/>
                <w:sz w:val="24"/>
                <w:szCs w:val="24"/>
              </w:rPr>
            </w:pPr>
            <w:r>
              <w:rPr>
                <w:rFonts w:ascii="宋体" w:cs="宋体" w:hint="eastAsia"/>
                <w:iCs/>
                <w:sz w:val="24"/>
                <w:szCs w:val="24"/>
              </w:rPr>
              <w:t>30分</w:t>
            </w:r>
          </w:p>
        </w:tc>
        <w:tc>
          <w:tcPr>
            <w:tcW w:w="6901" w:type="dxa"/>
            <w:tcBorders>
              <w:top w:val="single" w:sz="8" w:space="0" w:color="auto"/>
              <w:left w:val="single" w:sz="6" w:space="0" w:color="auto"/>
              <w:bottom w:val="single" w:sz="12" w:space="0" w:color="auto"/>
              <w:right w:val="single" w:sz="12" w:space="0" w:color="auto"/>
            </w:tcBorders>
            <w:noWrap/>
            <w:vAlign w:val="center"/>
          </w:tcPr>
          <w:p>
            <w:pPr>
              <w:pStyle w:val="174"/>
              <w:wordWrap w:val="0"/>
              <w:spacing w:line="360" w:lineRule="auto"/>
              <w:rPr>
                <w:rFonts w:ascii="宋体" w:cs="宋体"/>
                <w:iCs/>
                <w:sz w:val="24"/>
                <w:szCs w:val="24"/>
              </w:rPr>
            </w:pPr>
            <w:r>
              <w:rPr>
                <w:rFonts w:ascii="宋体" w:cs="宋体" w:hint="eastAsia"/>
                <w:iCs/>
                <w:sz w:val="24"/>
                <w:szCs w:val="24"/>
              </w:rPr>
              <w:t>经济标得分= (评标基准价/投标报价)×30分</w:t>
            </w:r>
          </w:p>
          <w:p>
            <w:pPr>
              <w:pStyle w:val="174"/>
              <w:wordWrap w:val="0"/>
              <w:spacing w:line="360" w:lineRule="auto"/>
              <w:rPr>
                <w:rFonts w:ascii="宋体" w:cs="宋体"/>
                <w:iCs/>
                <w:sz w:val="24"/>
                <w:szCs w:val="24"/>
              </w:rPr>
            </w:pPr>
            <w:r>
              <w:rPr>
                <w:rFonts w:ascii="宋体" w:cs="宋体" w:hint="eastAsia"/>
                <w:iCs/>
                <w:sz w:val="24"/>
                <w:szCs w:val="24"/>
              </w:rPr>
              <w:t>注：</w:t>
            </w:r>
          </w:p>
          <w:p>
            <w:pPr>
              <w:pStyle w:val="174"/>
              <w:wordWrap w:val="0"/>
              <w:spacing w:line="360" w:lineRule="auto"/>
              <w:rPr>
                <w:rFonts w:ascii="宋体" w:cs="宋体"/>
                <w:iCs/>
                <w:sz w:val="24"/>
                <w:szCs w:val="24"/>
              </w:rPr>
            </w:pPr>
            <w:r>
              <w:rPr>
                <w:rFonts w:ascii="宋体" w:cs="宋体" w:hint="eastAsia"/>
                <w:iCs/>
                <w:sz w:val="24"/>
                <w:szCs w:val="24"/>
              </w:rPr>
              <w:t>1.评标基准价为满足比选文件要求且报价最低的投标报价，其经济价格分为满分。</w:t>
            </w:r>
          </w:p>
          <w:p>
            <w:pPr>
              <w:pStyle w:val="174"/>
              <w:wordWrap w:val="0"/>
              <w:spacing w:line="360" w:lineRule="auto"/>
              <w:rPr>
                <w:rFonts w:ascii="宋体" w:cs="宋体" w:hint="eastAsia"/>
                <w:iCs/>
                <w:sz w:val="24"/>
                <w:szCs w:val="24"/>
              </w:rPr>
            </w:pPr>
            <w:r>
              <w:rPr>
                <w:rFonts w:ascii="宋体" w:cs="宋体" w:hint="eastAsia"/>
                <w:iCs/>
                <w:sz w:val="24"/>
                <w:szCs w:val="24"/>
              </w:rPr>
              <w:t>2.投标报价得分四舍五入后，小数点后保留两位有效数。</w:t>
            </w:r>
          </w:p>
          <w:p>
            <w:pPr>
              <w:pStyle w:val="174"/>
              <w:wordWrap w:val="0"/>
              <w:spacing w:line="360" w:lineRule="auto"/>
              <w:rPr>
                <w:rFonts w:ascii="宋体"/>
                <w:sz w:val="24"/>
                <w:szCs w:val="24"/>
              </w:rPr>
            </w:pPr>
            <w:r>
              <w:rPr>
                <w:rFonts w:ascii="宋体" w:cs="宋体" w:hint="eastAsia"/>
                <w:iCs/>
                <w:sz w:val="24"/>
                <w:szCs w:val="24"/>
              </w:rPr>
              <w:t>3.</w:t>
            </w:r>
            <w:r>
              <w:rPr>
                <w:rFonts w:ascii="宋体" w:hint="eastAsia"/>
                <w:sz w:val="24"/>
              </w:rPr>
              <w:t>关于小微企业报价扣除比例说明：供应商为非联合体参与比选的，对小微型企业给予</w:t>
            </w:r>
            <w:r>
              <w:rPr>
                <w:rFonts w:ascii="宋体"/>
                <w:sz w:val="24"/>
                <w:u w:val="single"/>
              </w:rPr>
              <w:t>15</w:t>
            </w:r>
            <w:r>
              <w:rPr>
                <w:rFonts w:ascii="宋体" w:hint="eastAsia"/>
                <w:sz w:val="24"/>
              </w:rPr>
              <w:t>%的扣除，以扣除后的报价参与评审；监狱企业、残疾人福利性单位视同小型、微型企业。</w:t>
            </w:r>
          </w:p>
        </w:tc>
      </w:tr>
    </w:tbl>
    <w:p>
      <w:pPr>
        <w:adjustRightInd w:val="0"/>
        <w:snapToGrid w:val="0"/>
        <w:spacing w:line="360" w:lineRule="auto"/>
        <w:ind w:firstLineChars="177" w:firstLine="425"/>
        <w:rPr>
          <w:rFonts w:ascii="宋体"/>
          <w:sz w:val="24"/>
        </w:rPr>
      </w:pPr>
    </w:p>
    <w:p>
      <w:pPr>
        <w:jc w:val="center"/>
        <w:rPr>
          <w:rFonts w:ascii="宋体"/>
          <w:b/>
          <w:bCs/>
          <w:sz w:val="44"/>
          <w:szCs w:val="36"/>
        </w:rPr>
      </w:pPr>
      <w:bookmarkStart w:id="95" w:name="_Toc256431239"/>
      <w:bookmarkStart w:id="96" w:name="_Toc256432966"/>
      <w:bookmarkStart w:id="97" w:name="_Toc256155972"/>
      <w:bookmarkStart w:id="98" w:name="_Toc502229237"/>
      <w:bookmarkStart w:id="99" w:name="_Toc116306878"/>
      <w:bookmarkStart w:id="100" w:name="_Toc223847751"/>
      <w:bookmarkStart w:id="101" w:name="_Toc129763854"/>
      <w:bookmarkStart w:id="102" w:name="_Toc359318821"/>
      <w:bookmarkStart w:id="103" w:name="_Toc256429582"/>
      <w:bookmarkStart w:id="104" w:name="_Toc256428869"/>
      <w:bookmarkStart w:id="105" w:name="_Toc256429831"/>
      <w:r>
        <w:rPr>
          <w:rFonts w:ascii="宋体"/>
          <w:b/>
          <w:bCs/>
          <w:sz w:val="44"/>
          <w:szCs w:val="36"/>
        </w:rPr>
        <w:br w:type="page"/>
      </w:r>
    </w:p>
    <w:p>
      <w:pPr>
        <w:jc w:val="center"/>
        <w:rPr>
          <w:rFonts w:ascii="宋体"/>
          <w:b/>
          <w:bCs/>
          <w:sz w:val="44"/>
          <w:szCs w:val="36"/>
        </w:rPr>
      </w:pPr>
      <w:r>
        <w:rPr>
          <w:rFonts w:ascii="宋体" w:hint="eastAsia"/>
          <w:b/>
          <w:bCs/>
          <w:sz w:val="44"/>
          <w:szCs w:val="36"/>
        </w:rPr>
        <w:t>第五章</w:t>
      </w:r>
      <w:r>
        <w:rPr>
          <w:rFonts w:ascii="宋体"/>
          <w:b/>
          <w:bCs/>
          <w:sz w:val="44"/>
          <w:szCs w:val="36"/>
        </w:rPr>
        <w:t xml:space="preserve"> </w:t>
      </w:r>
      <w:r>
        <w:rPr>
          <w:rFonts w:ascii="宋体" w:hint="eastAsia"/>
          <w:b/>
          <w:bCs/>
          <w:sz w:val="44"/>
          <w:szCs w:val="36"/>
        </w:rPr>
        <w:t>合同主要条款及合同格式</w:t>
      </w:r>
      <w:bookmarkEnd w:id="95"/>
      <w:bookmarkEnd w:id="96"/>
      <w:bookmarkEnd w:id="97"/>
      <w:bookmarkEnd w:id="98"/>
      <w:bookmarkEnd w:id="99"/>
      <w:bookmarkEnd w:id="100"/>
      <w:bookmarkEnd w:id="101"/>
      <w:bookmarkEnd w:id="102"/>
      <w:bookmarkEnd w:id="103"/>
      <w:bookmarkEnd w:id="104"/>
      <w:bookmarkEnd w:id="105"/>
    </w:p>
    <w:p>
      <w:pPr>
        <w:spacing w:line="500" w:lineRule="exact"/>
        <w:jc w:val="center"/>
        <w:rPr>
          <w:rFonts w:ascii="宋体"/>
          <w:b/>
          <w:sz w:val="44"/>
        </w:rPr>
      </w:pPr>
      <w:r>
        <w:rPr>
          <w:rFonts w:ascii="宋体" w:hint="eastAsia"/>
          <w:b/>
          <w:sz w:val="44"/>
        </w:rPr>
        <w:t>采购合同</w:t>
      </w:r>
    </w:p>
    <w:p>
      <w:pPr>
        <w:pStyle w:val="175"/>
        <w:spacing w:line="560" w:lineRule="exact"/>
        <w:ind w:left="23" w:firstLineChars="200" w:firstLine="560"/>
        <w:jc w:val="left"/>
        <w:rPr>
          <w:rFonts w:ascii="宋体" w:cs="宋体"/>
          <w:kern w:val="0"/>
          <w:sz w:val="28"/>
          <w:szCs w:val="28"/>
          <w:highlight w:val="white"/>
        </w:rPr>
      </w:pPr>
      <w:bookmarkStart w:id="106" w:name="_Toc116306879"/>
      <w:bookmarkStart w:id="107" w:name="_Toc505867281"/>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宋体" w:cs="宋体"/>
          <w:iCs/>
          <w:sz w:val="24"/>
          <w:szCs w:val="24"/>
        </w:rPr>
      </w:pPr>
      <w:r>
        <w:rPr>
          <w:rFonts w:ascii="宋体" w:cs="宋体" w:hint="eastAsia"/>
          <w:b/>
          <w:iCs/>
          <w:sz w:val="24"/>
          <w:szCs w:val="24"/>
        </w:rPr>
        <w:t>甲方（采购人）：</w:t>
      </w:r>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cs="宋体"/>
          <w:iCs/>
          <w:sz w:val="24"/>
          <w:szCs w:val="24"/>
        </w:rPr>
      </w:pPr>
      <w:r>
        <w:rPr>
          <w:rFonts w:ascii="宋体" w:cs="宋体" w:hint="eastAsia"/>
          <w:iCs/>
          <w:sz w:val="24"/>
          <w:szCs w:val="24"/>
        </w:rPr>
        <w:t>法定代表人（或负责人）：</w:t>
      </w:r>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cs="宋体"/>
          <w:iCs/>
          <w:sz w:val="24"/>
          <w:szCs w:val="24"/>
        </w:rPr>
      </w:pPr>
      <w:r>
        <w:rPr>
          <w:rFonts w:ascii="宋体" w:cs="宋体" w:hint="eastAsia"/>
          <w:iCs/>
          <w:sz w:val="24"/>
          <w:szCs w:val="24"/>
        </w:rPr>
        <w:t>联系人：                    电话：               传真：</w:t>
      </w:r>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cs="宋体"/>
          <w:iCs/>
          <w:sz w:val="24"/>
          <w:szCs w:val="24"/>
        </w:rPr>
      </w:pPr>
      <w:r>
        <w:rPr>
          <w:rFonts w:ascii="宋体" w:cs="宋体" w:hint="eastAsia"/>
          <w:b/>
          <w:iCs/>
          <w:sz w:val="24"/>
          <w:szCs w:val="24"/>
        </w:rPr>
        <w:t>乙方（中标人）：</w:t>
      </w:r>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cs="宋体"/>
          <w:iCs/>
          <w:sz w:val="24"/>
          <w:szCs w:val="24"/>
        </w:rPr>
      </w:pPr>
      <w:r>
        <w:rPr>
          <w:rFonts w:ascii="宋体" w:cs="宋体" w:hint="eastAsia"/>
          <w:iCs/>
          <w:sz w:val="24"/>
          <w:szCs w:val="24"/>
        </w:rPr>
        <w:t>法定代表人（或负责人）：</w:t>
      </w:r>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cs="宋体"/>
          <w:iCs/>
          <w:sz w:val="24"/>
          <w:szCs w:val="24"/>
        </w:rPr>
      </w:pPr>
      <w:r>
        <w:rPr>
          <w:rFonts w:ascii="宋体" w:cs="宋体" w:hint="eastAsia"/>
          <w:iCs/>
          <w:sz w:val="24"/>
          <w:szCs w:val="24"/>
        </w:rPr>
        <w:t>地址：                                            邮编：</w:t>
      </w:r>
    </w:p>
    <w:p>
      <w:pPr>
        <w:pStyle w:val="17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cs="宋体"/>
          <w:iCs/>
          <w:sz w:val="24"/>
          <w:szCs w:val="24"/>
        </w:rPr>
      </w:pPr>
      <w:r>
        <w:rPr>
          <w:rFonts w:ascii="宋体" w:cs="宋体" w:hint="eastAsia"/>
          <w:iCs/>
          <w:sz w:val="24"/>
          <w:szCs w:val="24"/>
        </w:rPr>
        <w:t>联系人：                    电话：                传真：</w:t>
      </w:r>
    </w:p>
    <w:p>
      <w:pPr>
        <w:pStyle w:val="178"/>
        <w:spacing w:line="360" w:lineRule="auto"/>
        <w:ind w:firstLineChars="200" w:firstLine="480"/>
        <w:rPr>
          <w:rFonts w:ascii="宋体" w:cs="宋体"/>
          <w:iCs/>
          <w:sz w:val="24"/>
          <w:szCs w:val="24"/>
        </w:rPr>
      </w:pPr>
      <w:r>
        <w:rPr>
          <w:rFonts w:ascii="宋体" w:cs="宋体" w:hint="eastAsia"/>
          <w:iCs/>
          <w:sz w:val="24"/>
          <w:szCs w:val="24"/>
        </w:rPr>
        <w:t>根据《中华人民共和国政府采购法》、《中华人民共和国民法典》等相关法律规定，甲方对____________采购项目以_____方式进行采购（采购编号：________ ），确定乙方为中标人（成交商），现依照比选文件（谈判文件、询价通知书、磋商文件、单一来源）、响应文件/应答文件等相关文件的内容，双方达成如下协议：</w:t>
      </w:r>
    </w:p>
    <w:p>
      <w:pPr>
        <w:pStyle w:val="178"/>
        <w:spacing w:line="360" w:lineRule="auto"/>
        <w:ind w:firstLineChars="200" w:firstLine="480"/>
        <w:rPr>
          <w:rFonts w:ascii="宋体" w:cs="宋体"/>
          <w:b/>
          <w:bCs/>
          <w:iCs/>
          <w:sz w:val="24"/>
          <w:szCs w:val="24"/>
        </w:rPr>
      </w:pPr>
      <w:r>
        <w:rPr>
          <w:rFonts w:ascii="宋体" w:cs="宋体" w:hint="eastAsia"/>
          <w:b/>
          <w:bCs/>
          <w:iCs/>
          <w:sz w:val="24"/>
          <w:szCs w:val="24"/>
        </w:rPr>
        <w:t>第一条 采购货物清单</w:t>
      </w:r>
    </w:p>
    <w:tbl>
      <w:tblPr>
        <w:jc w:val="left"/>
        <w:tblW w:w="9397"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711"/>
        <w:gridCol w:w="1753"/>
        <w:gridCol w:w="1389"/>
        <w:gridCol w:w="910"/>
        <w:gridCol w:w="910"/>
        <w:gridCol w:w="1338"/>
        <w:gridCol w:w="1386"/>
      </w:tblGrid>
      <w:tr>
        <w:trPr>
          <w:trHeight w:val="967"/>
        </w:trPr>
        <w:tc>
          <w:tcPr>
            <w:tcW w:w="1711" w:type="dxa"/>
            <w:tcBorders>
              <w:top w:val="single" w:sz="4" w:space="0" w:color="auto"/>
              <w:left w:val="single" w:sz="4" w:space="0" w:color="auto"/>
              <w:bottom w:val="single" w:sz="4" w:space="0" w:color="auto"/>
              <w:right w:val="single" w:sz="4" w:space="0" w:color="auto"/>
              <w:tl2br w:val="nil"/>
              <w:tr2bl w:val="nil"/>
            </w:tcBorders>
            <w:vAlign w:val="center"/>
          </w:tcPr>
          <w:p>
            <w:pPr>
              <w:pStyle w:val="76"/>
              <w:autoSpaceDN w:val="0"/>
              <w:adjustRightInd w:val="0"/>
              <w:snapToGrid w:val="0"/>
              <w:spacing w:line="360" w:lineRule="auto"/>
              <w:jc w:val="center"/>
              <w:rPr>
                <w:rFonts w:cs="宋体"/>
                <w:b/>
                <w:bCs/>
                <w:iCs/>
                <w:sz w:val="24"/>
                <w:szCs w:val="24"/>
              </w:rPr>
            </w:pPr>
            <w:r>
              <w:rPr>
                <w:rFonts w:cs="宋体" w:hint="eastAsia"/>
                <w:b/>
                <w:bCs/>
                <w:iCs/>
                <w:sz w:val="24"/>
                <w:szCs w:val="24"/>
              </w:rPr>
              <w:t>货物名称</w:t>
            </w:r>
          </w:p>
        </w:tc>
        <w:tc>
          <w:tcPr>
            <w:tcW w:w="1753" w:type="dxa"/>
            <w:tcBorders>
              <w:top w:val="single" w:sz="4" w:space="0" w:color="auto"/>
              <w:left w:val="single" w:sz="4" w:space="0" w:color="auto"/>
              <w:bottom w:val="single" w:sz="4" w:space="0" w:color="auto"/>
              <w:right w:val="single" w:sz="4" w:space="0" w:color="auto"/>
              <w:tl2br w:val="nil"/>
              <w:tr2bl w:val="nil"/>
            </w:tcBorders>
            <w:vAlign w:val="center"/>
          </w:tcPr>
          <w:p>
            <w:pPr>
              <w:pStyle w:val="75"/>
              <w:autoSpaceDN w:val="0"/>
              <w:adjustRightInd w:val="0"/>
              <w:snapToGrid w:val="0"/>
              <w:spacing w:line="360" w:lineRule="auto"/>
              <w:jc w:val="center"/>
              <w:rPr>
                <w:rFonts w:cs="宋体"/>
                <w:b/>
                <w:bCs/>
                <w:iCs/>
                <w:sz w:val="24"/>
                <w:szCs w:val="24"/>
              </w:rPr>
            </w:pPr>
            <w:r>
              <w:rPr>
                <w:rFonts w:cs="宋体" w:hint="eastAsia"/>
                <w:b/>
                <w:bCs/>
                <w:iCs/>
                <w:sz w:val="24"/>
                <w:szCs w:val="24"/>
              </w:rPr>
              <w:t>品牌</w:t>
            </w:r>
          </w:p>
        </w:tc>
        <w:tc>
          <w:tcPr>
            <w:tcW w:w="1389" w:type="dxa"/>
            <w:tcBorders>
              <w:top w:val="single" w:sz="4" w:space="0" w:color="auto"/>
              <w:left w:val="single" w:sz="4" w:space="0" w:color="auto"/>
              <w:bottom w:val="single" w:sz="4" w:space="0" w:color="auto"/>
              <w:right w:val="single" w:sz="4" w:space="0" w:color="auto"/>
              <w:tl2br w:val="nil"/>
              <w:tr2bl w:val="nil"/>
            </w:tcBorders>
            <w:vAlign w:val="center"/>
          </w:tcPr>
          <w:p>
            <w:pPr>
              <w:pStyle w:val="74"/>
              <w:autoSpaceDN w:val="0"/>
              <w:adjustRightInd w:val="0"/>
              <w:snapToGrid w:val="0"/>
              <w:spacing w:line="360" w:lineRule="auto"/>
              <w:jc w:val="center"/>
              <w:rPr>
                <w:rFonts w:cs="宋体"/>
                <w:b/>
                <w:bCs/>
                <w:iCs/>
                <w:sz w:val="24"/>
                <w:szCs w:val="24"/>
              </w:rPr>
            </w:pPr>
            <w:r>
              <w:rPr>
                <w:rFonts w:cs="宋体" w:hint="eastAsia"/>
                <w:b/>
                <w:bCs/>
                <w:iCs/>
                <w:sz w:val="24"/>
                <w:szCs w:val="24"/>
              </w:rPr>
              <w:t>规格型号</w:t>
            </w:r>
          </w:p>
        </w:tc>
        <w:tc>
          <w:tcPr>
            <w:tcW w:w="910" w:type="dxa"/>
            <w:tcBorders>
              <w:top w:val="single" w:sz="4" w:space="0" w:color="auto"/>
              <w:left w:val="single" w:sz="4" w:space="0" w:color="auto"/>
              <w:bottom w:val="single" w:sz="4" w:space="0" w:color="auto"/>
              <w:right w:val="single" w:sz="4" w:space="0" w:color="auto"/>
              <w:tl2br w:val="nil"/>
              <w:tr2bl w:val="nil"/>
            </w:tcBorders>
            <w:vAlign w:val="center"/>
          </w:tcPr>
          <w:p>
            <w:pPr>
              <w:pStyle w:val="72"/>
              <w:autoSpaceDN w:val="0"/>
              <w:adjustRightInd w:val="0"/>
              <w:snapToGrid w:val="0"/>
              <w:spacing w:line="360" w:lineRule="auto"/>
              <w:jc w:val="center"/>
              <w:rPr>
                <w:rFonts w:cs="宋体"/>
                <w:b/>
                <w:bCs/>
                <w:iCs/>
                <w:sz w:val="24"/>
                <w:szCs w:val="24"/>
              </w:rPr>
            </w:pPr>
            <w:r>
              <w:rPr>
                <w:rFonts w:cs="宋体" w:hint="eastAsia"/>
                <w:b/>
                <w:bCs/>
                <w:iCs/>
                <w:sz w:val="24"/>
                <w:szCs w:val="24"/>
              </w:rPr>
              <w:t>产地</w:t>
            </w:r>
          </w:p>
        </w:tc>
        <w:tc>
          <w:tcPr>
            <w:tcW w:w="910" w:type="dxa"/>
            <w:tcBorders>
              <w:top w:val="single" w:sz="4" w:space="0" w:color="auto"/>
              <w:left w:val="single" w:sz="4" w:space="0" w:color="auto"/>
              <w:bottom w:val="single" w:sz="4" w:space="0" w:color="auto"/>
              <w:right w:val="single" w:sz="4" w:space="0" w:color="auto"/>
              <w:tl2br w:val="nil"/>
              <w:tr2bl w:val="nil"/>
            </w:tcBorders>
            <w:vAlign w:val="center"/>
          </w:tcPr>
          <w:p>
            <w:pPr>
              <w:pStyle w:val="72"/>
              <w:autoSpaceDN w:val="0"/>
              <w:adjustRightInd w:val="0"/>
              <w:snapToGrid w:val="0"/>
              <w:spacing w:line="360" w:lineRule="auto"/>
              <w:jc w:val="center"/>
              <w:rPr>
                <w:rFonts w:cs="宋体"/>
                <w:b/>
                <w:bCs/>
                <w:iCs/>
                <w:sz w:val="24"/>
                <w:szCs w:val="24"/>
              </w:rPr>
            </w:pPr>
            <w:r>
              <w:rPr>
                <w:rFonts w:cs="宋体" w:hint="eastAsia"/>
                <w:b/>
                <w:bCs/>
                <w:iCs/>
                <w:sz w:val="24"/>
                <w:szCs w:val="24"/>
              </w:rPr>
              <w:t>数量</w:t>
            </w:r>
          </w:p>
        </w:tc>
        <w:tc>
          <w:tcPr>
            <w:tcW w:w="1338" w:type="dxa"/>
            <w:tcBorders>
              <w:top w:val="single" w:sz="4" w:space="0" w:color="auto"/>
              <w:left w:val="single" w:sz="4" w:space="0" w:color="auto"/>
              <w:bottom w:val="single" w:sz="4" w:space="0" w:color="auto"/>
              <w:right w:val="single" w:sz="4" w:space="0" w:color="auto"/>
              <w:tl2br w:val="nil"/>
              <w:tr2bl w:val="nil"/>
            </w:tcBorders>
            <w:vAlign w:val="center"/>
          </w:tcPr>
          <w:p>
            <w:pPr>
              <w:pStyle w:val="71"/>
              <w:autoSpaceDN w:val="0"/>
              <w:adjustRightInd w:val="0"/>
              <w:snapToGrid w:val="0"/>
              <w:spacing w:line="360" w:lineRule="auto"/>
              <w:jc w:val="center"/>
              <w:rPr>
                <w:rFonts w:cs="宋体"/>
                <w:b/>
                <w:bCs/>
                <w:iCs/>
                <w:sz w:val="24"/>
                <w:szCs w:val="24"/>
              </w:rPr>
            </w:pPr>
            <w:r>
              <w:rPr>
                <w:rFonts w:cs="宋体" w:hint="eastAsia"/>
                <w:b/>
                <w:bCs/>
                <w:iCs/>
                <w:sz w:val="24"/>
                <w:szCs w:val="24"/>
              </w:rPr>
              <w:t>单价（RMB）</w:t>
            </w:r>
          </w:p>
        </w:tc>
        <w:tc>
          <w:tcPr>
            <w:tcW w:w="1386" w:type="dxa"/>
            <w:tcBorders>
              <w:top w:val="single" w:sz="4" w:space="0" w:color="auto"/>
              <w:left w:val="single" w:sz="4" w:space="0" w:color="auto"/>
              <w:bottom w:val="single" w:sz="4" w:space="0" w:color="auto"/>
              <w:right w:val="single" w:sz="4" w:space="0" w:color="auto"/>
              <w:tl2br w:val="nil"/>
              <w:tr2bl w:val="nil"/>
            </w:tcBorders>
            <w:vAlign w:val="center"/>
          </w:tcPr>
          <w:p>
            <w:pPr>
              <w:pStyle w:val="70"/>
              <w:autoSpaceDN w:val="0"/>
              <w:adjustRightInd w:val="0"/>
              <w:snapToGrid w:val="0"/>
              <w:spacing w:line="360" w:lineRule="auto"/>
              <w:jc w:val="center"/>
              <w:rPr>
                <w:rFonts w:cs="宋体"/>
                <w:b/>
                <w:bCs/>
                <w:iCs/>
                <w:sz w:val="24"/>
                <w:szCs w:val="24"/>
              </w:rPr>
            </w:pPr>
            <w:r>
              <w:rPr>
                <w:rFonts w:cs="宋体" w:hint="eastAsia"/>
                <w:b/>
                <w:bCs/>
                <w:iCs/>
                <w:sz w:val="24"/>
                <w:szCs w:val="24"/>
              </w:rPr>
              <w:t>总价（RMB）</w:t>
            </w:r>
          </w:p>
        </w:tc>
      </w:tr>
      <w:tr>
        <w:trPr>
          <w:trHeight w:val="515"/>
        </w:trPr>
        <w:tc>
          <w:tcPr>
            <w:tcW w:w="1711" w:type="dxa"/>
            <w:tcBorders>
              <w:top w:val="single" w:sz="4" w:space="0" w:color="auto"/>
              <w:left w:val="single" w:sz="4" w:space="0" w:color="auto"/>
              <w:bottom w:val="single" w:sz="4" w:space="0" w:color="auto"/>
              <w:right w:val="single" w:sz="4" w:space="0" w:color="auto"/>
              <w:tl2br w:val="nil"/>
              <w:tr2bl w:val="nil"/>
            </w:tcBorders>
            <w:vAlign w:val="center"/>
          </w:tcPr>
          <w:p>
            <w:pPr>
              <w:pStyle w:val="69"/>
              <w:autoSpaceDN w:val="0"/>
              <w:adjustRightInd w:val="0"/>
              <w:snapToGrid w:val="0"/>
              <w:spacing w:line="360" w:lineRule="auto"/>
              <w:jc w:val="center"/>
              <w:rPr>
                <w:rFonts w:cs="宋体"/>
                <w:b/>
                <w:bCs/>
                <w:iCs/>
                <w:sz w:val="24"/>
                <w:szCs w:val="24"/>
              </w:rPr>
            </w:pPr>
          </w:p>
        </w:tc>
        <w:tc>
          <w:tcPr>
            <w:tcW w:w="1753" w:type="dxa"/>
            <w:tcBorders>
              <w:top w:val="single" w:sz="4" w:space="0" w:color="auto"/>
              <w:left w:val="single" w:sz="4" w:space="0" w:color="auto"/>
              <w:bottom w:val="single" w:sz="4" w:space="0" w:color="auto"/>
              <w:right w:val="single" w:sz="4" w:space="0" w:color="auto"/>
              <w:tl2br w:val="nil"/>
              <w:tr2bl w:val="nil"/>
            </w:tcBorders>
            <w:vAlign w:val="center"/>
          </w:tcPr>
          <w:p>
            <w:pPr>
              <w:pStyle w:val="68"/>
              <w:autoSpaceDN w:val="0"/>
              <w:adjustRightInd w:val="0"/>
              <w:snapToGrid w:val="0"/>
              <w:spacing w:line="360" w:lineRule="auto"/>
              <w:jc w:val="center"/>
              <w:rPr>
                <w:rFonts w:cs="宋体"/>
                <w:b/>
                <w:bCs/>
                <w:iCs/>
                <w:sz w:val="24"/>
                <w:szCs w:val="24"/>
              </w:rPr>
            </w:pPr>
          </w:p>
        </w:tc>
        <w:tc>
          <w:tcPr>
            <w:tcW w:w="1389" w:type="dxa"/>
            <w:tcBorders>
              <w:top w:val="single" w:sz="4" w:space="0" w:color="auto"/>
              <w:left w:val="single" w:sz="4" w:space="0" w:color="auto"/>
              <w:bottom w:val="single" w:sz="4" w:space="0" w:color="auto"/>
              <w:right w:val="single" w:sz="4" w:space="0" w:color="auto"/>
              <w:tl2br w:val="nil"/>
              <w:tr2bl w:val="nil"/>
            </w:tcBorders>
            <w:vAlign w:val="center"/>
          </w:tcPr>
          <w:p>
            <w:pPr>
              <w:pStyle w:val="67"/>
              <w:autoSpaceDN w:val="0"/>
              <w:adjustRightInd w:val="0"/>
              <w:snapToGrid w:val="0"/>
              <w:spacing w:line="360" w:lineRule="auto"/>
              <w:jc w:val="center"/>
              <w:rPr>
                <w:rFonts w:cs="宋体"/>
                <w:b/>
                <w:bCs/>
                <w:iCs/>
                <w:sz w:val="24"/>
                <w:szCs w:val="24"/>
              </w:rPr>
            </w:pPr>
          </w:p>
        </w:tc>
        <w:tc>
          <w:tcPr>
            <w:tcW w:w="910" w:type="dxa"/>
            <w:tcBorders>
              <w:top w:val="single" w:sz="4" w:space="0" w:color="auto"/>
              <w:left w:val="single" w:sz="4" w:space="0" w:color="auto"/>
              <w:bottom w:val="single" w:sz="4" w:space="0" w:color="auto"/>
              <w:right w:val="single" w:sz="4" w:space="0" w:color="auto"/>
              <w:tl2br w:val="nil"/>
              <w:tr2bl w:val="nil"/>
            </w:tcBorders>
            <w:vAlign w:val="center"/>
          </w:tcPr>
          <w:p>
            <w:pPr>
              <w:pStyle w:val="66"/>
              <w:autoSpaceDN w:val="0"/>
              <w:adjustRightInd w:val="0"/>
              <w:snapToGrid w:val="0"/>
              <w:spacing w:line="360" w:lineRule="auto"/>
              <w:jc w:val="center"/>
              <w:rPr>
                <w:rFonts w:cs="宋体"/>
                <w:b/>
                <w:bCs/>
                <w:iCs/>
                <w:sz w:val="24"/>
                <w:szCs w:val="24"/>
              </w:rPr>
            </w:pPr>
          </w:p>
        </w:tc>
        <w:tc>
          <w:tcPr>
            <w:tcW w:w="910" w:type="dxa"/>
            <w:tcBorders>
              <w:top w:val="single" w:sz="4" w:space="0" w:color="auto"/>
              <w:left w:val="single" w:sz="4" w:space="0" w:color="auto"/>
              <w:bottom w:val="single" w:sz="4" w:space="0" w:color="auto"/>
              <w:right w:val="single" w:sz="4" w:space="0" w:color="auto"/>
              <w:tl2br w:val="nil"/>
              <w:tr2bl w:val="nil"/>
            </w:tcBorders>
            <w:vAlign w:val="center"/>
          </w:tcPr>
          <w:p>
            <w:pPr>
              <w:pStyle w:val="66"/>
              <w:autoSpaceDN w:val="0"/>
              <w:adjustRightInd w:val="0"/>
              <w:snapToGrid w:val="0"/>
              <w:spacing w:line="360" w:lineRule="auto"/>
              <w:jc w:val="center"/>
              <w:rPr>
                <w:rFonts w:cs="宋体"/>
                <w:b/>
                <w:bCs/>
                <w:iCs/>
                <w:sz w:val="24"/>
                <w:szCs w:val="24"/>
              </w:rPr>
            </w:pPr>
          </w:p>
        </w:tc>
        <w:tc>
          <w:tcPr>
            <w:tcW w:w="1338" w:type="dxa"/>
            <w:tcBorders>
              <w:top w:val="single" w:sz="4" w:space="0" w:color="auto"/>
              <w:left w:val="single" w:sz="4" w:space="0" w:color="auto"/>
              <w:bottom w:val="single" w:sz="4" w:space="0" w:color="auto"/>
              <w:right w:val="single" w:sz="4" w:space="0" w:color="auto"/>
              <w:tl2br w:val="nil"/>
              <w:tr2bl w:val="nil"/>
            </w:tcBorders>
            <w:vAlign w:val="center"/>
          </w:tcPr>
          <w:p>
            <w:pPr>
              <w:pStyle w:val="65"/>
              <w:autoSpaceDN w:val="0"/>
              <w:adjustRightInd w:val="0"/>
              <w:snapToGrid w:val="0"/>
              <w:spacing w:line="360" w:lineRule="auto"/>
              <w:jc w:val="center"/>
              <w:rPr>
                <w:rFonts w:cs="宋体"/>
                <w:b/>
                <w:bCs/>
                <w:iCs/>
                <w:sz w:val="24"/>
                <w:szCs w:val="24"/>
              </w:rPr>
            </w:pPr>
          </w:p>
        </w:tc>
        <w:tc>
          <w:tcPr>
            <w:tcW w:w="1386" w:type="dxa"/>
            <w:tcBorders>
              <w:top w:val="single" w:sz="4" w:space="0" w:color="auto"/>
              <w:left w:val="single" w:sz="4" w:space="0" w:color="auto"/>
              <w:bottom w:val="single" w:sz="4" w:space="0" w:color="auto"/>
              <w:right w:val="single" w:sz="4" w:space="0" w:color="auto"/>
              <w:tl2br w:val="nil"/>
              <w:tr2bl w:val="nil"/>
            </w:tcBorders>
            <w:vAlign w:val="center"/>
          </w:tcPr>
          <w:p>
            <w:pPr>
              <w:pStyle w:val="63"/>
              <w:autoSpaceDN w:val="0"/>
              <w:adjustRightInd w:val="0"/>
              <w:snapToGrid w:val="0"/>
              <w:spacing w:line="360" w:lineRule="auto"/>
              <w:jc w:val="center"/>
              <w:rPr>
                <w:rFonts w:cs="宋体"/>
                <w:b/>
                <w:bCs/>
                <w:iCs/>
                <w:sz w:val="24"/>
                <w:szCs w:val="24"/>
              </w:rPr>
            </w:pPr>
          </w:p>
        </w:tc>
      </w:tr>
      <w:tr>
        <w:trPr>
          <w:trHeight w:val="515"/>
        </w:trPr>
        <w:tc>
          <w:tcPr>
            <w:tcW w:w="1711" w:type="dxa"/>
            <w:tcBorders>
              <w:top w:val="single" w:sz="4" w:space="0" w:color="auto"/>
              <w:left w:val="single" w:sz="4" w:space="0" w:color="auto"/>
              <w:bottom w:val="single" w:sz="4" w:space="0" w:color="auto"/>
              <w:right w:val="single" w:sz="4" w:space="0" w:color="auto"/>
              <w:tl2br w:val="nil"/>
              <w:tr2bl w:val="nil"/>
            </w:tcBorders>
            <w:vAlign w:val="center"/>
          </w:tcPr>
          <w:p>
            <w:pPr>
              <w:pStyle w:val="62"/>
              <w:autoSpaceDN w:val="0"/>
              <w:adjustRightInd w:val="0"/>
              <w:snapToGrid w:val="0"/>
              <w:spacing w:line="360" w:lineRule="auto"/>
              <w:jc w:val="center"/>
              <w:rPr>
                <w:rFonts w:cs="宋体"/>
                <w:b/>
                <w:bCs/>
                <w:iCs/>
                <w:sz w:val="24"/>
                <w:szCs w:val="24"/>
              </w:rPr>
            </w:pPr>
          </w:p>
        </w:tc>
        <w:tc>
          <w:tcPr>
            <w:tcW w:w="1753" w:type="dxa"/>
            <w:tcBorders>
              <w:top w:val="single" w:sz="4" w:space="0" w:color="auto"/>
              <w:left w:val="single" w:sz="4" w:space="0" w:color="auto"/>
              <w:bottom w:val="single" w:sz="4" w:space="0" w:color="auto"/>
              <w:right w:val="single" w:sz="4" w:space="0" w:color="auto"/>
              <w:tl2br w:val="nil"/>
              <w:tr2bl w:val="nil"/>
            </w:tcBorders>
            <w:vAlign w:val="center"/>
          </w:tcPr>
          <w:p>
            <w:pPr>
              <w:pStyle w:val="61"/>
              <w:autoSpaceDN w:val="0"/>
              <w:adjustRightInd w:val="0"/>
              <w:snapToGrid w:val="0"/>
              <w:spacing w:line="360" w:lineRule="auto"/>
              <w:jc w:val="center"/>
              <w:rPr>
                <w:rFonts w:cs="宋体"/>
                <w:b/>
                <w:bCs/>
                <w:iCs/>
                <w:sz w:val="24"/>
                <w:szCs w:val="24"/>
              </w:rPr>
            </w:pPr>
          </w:p>
        </w:tc>
        <w:tc>
          <w:tcPr>
            <w:tcW w:w="1389" w:type="dxa"/>
            <w:tcBorders>
              <w:top w:val="single" w:sz="4" w:space="0" w:color="auto"/>
              <w:left w:val="single" w:sz="4" w:space="0" w:color="auto"/>
              <w:bottom w:val="single" w:sz="4" w:space="0" w:color="auto"/>
              <w:right w:val="single" w:sz="4" w:space="0" w:color="auto"/>
              <w:tl2br w:val="nil"/>
              <w:tr2bl w:val="nil"/>
            </w:tcBorders>
            <w:vAlign w:val="center"/>
          </w:tcPr>
          <w:p>
            <w:pPr>
              <w:pStyle w:val="60"/>
              <w:autoSpaceDN w:val="0"/>
              <w:adjustRightInd w:val="0"/>
              <w:snapToGrid w:val="0"/>
              <w:spacing w:line="360" w:lineRule="auto"/>
              <w:jc w:val="center"/>
              <w:rPr>
                <w:rFonts w:cs="宋体"/>
                <w:b/>
                <w:bCs/>
                <w:iCs/>
                <w:sz w:val="24"/>
                <w:szCs w:val="24"/>
              </w:rPr>
            </w:pPr>
          </w:p>
        </w:tc>
        <w:tc>
          <w:tcPr>
            <w:tcW w:w="910" w:type="dxa"/>
            <w:tcBorders>
              <w:top w:val="single" w:sz="4" w:space="0" w:color="auto"/>
              <w:left w:val="single" w:sz="4" w:space="0" w:color="auto"/>
              <w:bottom w:val="single" w:sz="4" w:space="0" w:color="auto"/>
              <w:right w:val="single" w:sz="4" w:space="0" w:color="auto"/>
              <w:tl2br w:val="nil"/>
              <w:tr2bl w:val="nil"/>
            </w:tcBorders>
            <w:vAlign w:val="center"/>
          </w:tcPr>
          <w:p>
            <w:pPr>
              <w:pStyle w:val="59"/>
              <w:autoSpaceDN w:val="0"/>
              <w:adjustRightInd w:val="0"/>
              <w:snapToGrid w:val="0"/>
              <w:spacing w:line="360" w:lineRule="auto"/>
              <w:jc w:val="center"/>
              <w:rPr>
                <w:rFonts w:cs="宋体"/>
                <w:b/>
                <w:bCs/>
                <w:iCs/>
                <w:sz w:val="24"/>
                <w:szCs w:val="24"/>
              </w:rPr>
            </w:pPr>
          </w:p>
        </w:tc>
        <w:tc>
          <w:tcPr>
            <w:tcW w:w="910" w:type="dxa"/>
            <w:tcBorders>
              <w:top w:val="single" w:sz="4" w:space="0" w:color="auto"/>
              <w:left w:val="single" w:sz="4" w:space="0" w:color="auto"/>
              <w:bottom w:val="single" w:sz="4" w:space="0" w:color="auto"/>
              <w:right w:val="single" w:sz="4" w:space="0" w:color="auto"/>
              <w:tl2br w:val="nil"/>
              <w:tr2bl w:val="nil"/>
            </w:tcBorders>
            <w:vAlign w:val="center"/>
          </w:tcPr>
          <w:p>
            <w:pPr>
              <w:pStyle w:val="59"/>
              <w:autoSpaceDN w:val="0"/>
              <w:adjustRightInd w:val="0"/>
              <w:snapToGrid w:val="0"/>
              <w:spacing w:line="360" w:lineRule="auto"/>
              <w:jc w:val="center"/>
              <w:rPr>
                <w:rFonts w:cs="宋体"/>
                <w:b/>
                <w:bCs/>
                <w:iCs/>
                <w:sz w:val="24"/>
                <w:szCs w:val="24"/>
              </w:rPr>
            </w:pPr>
          </w:p>
        </w:tc>
        <w:tc>
          <w:tcPr>
            <w:tcW w:w="1338" w:type="dxa"/>
            <w:tcBorders>
              <w:top w:val="single" w:sz="4" w:space="0" w:color="auto"/>
              <w:left w:val="single" w:sz="4" w:space="0" w:color="auto"/>
              <w:bottom w:val="single" w:sz="4" w:space="0" w:color="auto"/>
              <w:right w:val="single" w:sz="4" w:space="0" w:color="auto"/>
              <w:tl2br w:val="nil"/>
              <w:tr2bl w:val="nil"/>
            </w:tcBorders>
            <w:vAlign w:val="center"/>
          </w:tcPr>
          <w:p>
            <w:pPr>
              <w:pStyle w:val="57"/>
              <w:autoSpaceDN w:val="0"/>
              <w:adjustRightInd w:val="0"/>
              <w:snapToGrid w:val="0"/>
              <w:spacing w:line="360" w:lineRule="auto"/>
              <w:jc w:val="center"/>
              <w:rPr>
                <w:rFonts w:cs="宋体"/>
                <w:b/>
                <w:bCs/>
                <w:iCs/>
                <w:sz w:val="24"/>
                <w:szCs w:val="24"/>
              </w:rPr>
            </w:pPr>
          </w:p>
        </w:tc>
        <w:tc>
          <w:tcPr>
            <w:tcW w:w="1386" w:type="dxa"/>
            <w:tcBorders>
              <w:top w:val="single" w:sz="4" w:space="0" w:color="auto"/>
              <w:left w:val="single" w:sz="4" w:space="0" w:color="auto"/>
              <w:bottom w:val="single" w:sz="4" w:space="0" w:color="auto"/>
              <w:right w:val="single" w:sz="4" w:space="0" w:color="auto"/>
              <w:tl2br w:val="nil"/>
              <w:tr2bl w:val="nil"/>
            </w:tcBorders>
            <w:vAlign w:val="center"/>
          </w:tcPr>
          <w:p>
            <w:pPr>
              <w:pStyle w:val="56"/>
              <w:autoSpaceDN w:val="0"/>
              <w:adjustRightInd w:val="0"/>
              <w:snapToGrid w:val="0"/>
              <w:spacing w:line="360" w:lineRule="auto"/>
              <w:jc w:val="center"/>
              <w:rPr>
                <w:rFonts w:cs="宋体"/>
                <w:b/>
                <w:bCs/>
                <w:iCs/>
                <w:sz w:val="24"/>
                <w:szCs w:val="24"/>
              </w:rPr>
            </w:pPr>
          </w:p>
        </w:tc>
      </w:tr>
      <w:tr>
        <w:trPr>
          <w:cantSplit/>
          <w:trHeight w:val="550"/>
        </w:trPr>
        <w:tc>
          <w:tcPr>
            <w:tcW w:w="8011" w:type="dxa"/>
            <w:gridSpan w:val="6"/>
            <w:tcBorders>
              <w:top w:val="single" w:sz="4" w:space="0" w:color="auto"/>
              <w:left w:val="single" w:sz="4" w:space="0" w:color="auto"/>
              <w:bottom w:val="single" w:sz="4" w:space="0" w:color="auto"/>
              <w:right w:val="single" w:sz="4" w:space="0" w:color="auto"/>
              <w:tl2br w:val="nil"/>
              <w:tr2bl w:val="nil"/>
            </w:tcBorders>
            <w:vAlign w:val="center"/>
          </w:tcPr>
          <w:p>
            <w:pPr>
              <w:pStyle w:val="55"/>
              <w:autoSpaceDN w:val="0"/>
              <w:adjustRightInd w:val="0"/>
              <w:snapToGrid w:val="0"/>
              <w:spacing w:line="360" w:lineRule="auto"/>
              <w:jc w:val="center"/>
              <w:rPr>
                <w:rFonts w:cs="宋体"/>
                <w:b/>
                <w:bCs/>
                <w:iCs/>
                <w:sz w:val="24"/>
                <w:szCs w:val="24"/>
              </w:rPr>
            </w:pPr>
            <w:r>
              <w:rPr>
                <w:rFonts w:cs="宋体" w:hint="eastAsia"/>
                <w:b/>
                <w:bCs/>
                <w:iCs/>
                <w:sz w:val="24"/>
                <w:szCs w:val="24"/>
              </w:rPr>
              <w:t>合同总价（RMB）</w:t>
            </w:r>
          </w:p>
        </w:tc>
        <w:tc>
          <w:tcPr>
            <w:tcW w:w="1386" w:type="dxa"/>
            <w:tcBorders>
              <w:top w:val="single" w:sz="4" w:space="0" w:color="auto"/>
              <w:left w:val="single" w:sz="4" w:space="0" w:color="auto"/>
              <w:bottom w:val="single" w:sz="4" w:space="0" w:color="auto"/>
              <w:right w:val="single" w:sz="4" w:space="0" w:color="auto"/>
              <w:tl2br w:val="nil"/>
              <w:tr2bl w:val="nil"/>
            </w:tcBorders>
            <w:vAlign w:val="center"/>
          </w:tcPr>
          <w:p>
            <w:pPr>
              <w:pStyle w:val="54"/>
              <w:autoSpaceDN w:val="0"/>
              <w:adjustRightInd w:val="0"/>
              <w:snapToGrid w:val="0"/>
              <w:spacing w:line="360" w:lineRule="auto"/>
              <w:jc w:val="center"/>
              <w:rPr>
                <w:rFonts w:cs="宋体"/>
                <w:b/>
                <w:bCs/>
                <w:iCs/>
                <w:sz w:val="24"/>
                <w:szCs w:val="24"/>
              </w:rPr>
            </w:pPr>
          </w:p>
        </w:tc>
      </w:tr>
    </w:tbl>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第二条 合同总价款</w:t>
      </w:r>
    </w:p>
    <w:p>
      <w:pPr>
        <w:pStyle w:val="179"/>
        <w:tabs>
          <w:tab w:val="left" w:pos="840"/>
          <w:tab w:val="right" w:leader="dot" w:pos="8296"/>
        </w:tabs>
        <w:adjustRightInd w:val="0"/>
        <w:snapToGrid w:val="0"/>
        <w:spacing w:before="0" w:after="0"/>
        <w:ind w:firstLineChars="200" w:firstLine="480"/>
        <w:jc w:val="left"/>
        <w:rPr>
          <w:rFonts w:ascii="宋体" w:eastAsia="宋体" w:cs="宋体"/>
          <w:iCs/>
          <w:caps w:val="0"/>
          <w:smallCaps w:val="0"/>
          <w:spacing w:val="0"/>
          <w:kern w:val="0"/>
          <w:sz w:val="24"/>
        </w:rPr>
      </w:pPr>
      <w:r>
        <w:rPr>
          <w:rFonts w:ascii="宋体" w:eastAsia="宋体" w:cs="宋体" w:hint="eastAsia"/>
          <w:iCs/>
          <w:caps w:val="0"/>
          <w:smallCaps w:val="0"/>
          <w:spacing w:val="0"/>
          <w:kern w:val="0"/>
          <w:sz w:val="24"/>
        </w:rPr>
        <w:t>甲方以支付总价款人民币大写</w:t>
      </w:r>
      <w:r>
        <w:rPr>
          <w:rFonts w:ascii="宋体" w:eastAsia="宋体" w:cs="宋体" w:hint="eastAsia"/>
          <w:iCs/>
          <w:caps w:val="0"/>
          <w:smallCaps w:val="0"/>
          <w:spacing w:val="0"/>
          <w:kern w:val="0"/>
          <w:sz w:val="24"/>
          <w:u w:val="single"/>
        </w:rPr>
        <w:t xml:space="preserve">       </w:t>
      </w:r>
      <w:r>
        <w:rPr>
          <w:rFonts w:ascii="宋体" w:eastAsia="宋体" w:cs="宋体" w:hint="eastAsia"/>
          <w:iCs/>
          <w:caps w:val="0"/>
          <w:smallCaps w:val="0"/>
          <w:spacing w:val="0"/>
          <w:kern w:val="0"/>
          <w:sz w:val="24"/>
        </w:rPr>
        <w:t>元（¥ __________，含税），接受乙方对上述货物的供货和伴随服务。包括乙方提供货物、包装、运输、货物的保险和储存、检测、验收、安装调试、保修服务、培训、资料及提供的伴随服务等所有成本、费用及税费，甲方（用户）无需再向乙方支付其他任何费用。详见分项报价表、设备配置清单和技术偏离表。</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第三条 付款条件</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（一）本合同以人民币付款。</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（二）付款办法：</w:t>
      </w:r>
    </w:p>
    <w:p>
      <w:pPr>
        <w:pStyle w:val="178"/>
        <w:adjustRightInd w:val="0"/>
        <w:snapToGrid w:val="0"/>
        <w:spacing w:line="360" w:lineRule="auto"/>
        <w:ind w:firstLineChars="200" w:firstLine="480"/>
        <w:rPr>
          <w:rFonts w:ascii="宋体" w:cs="宋体"/>
          <w:bCs/>
          <w:iCs/>
          <w:sz w:val="24"/>
        </w:rPr>
      </w:pPr>
      <w:r>
        <w:rPr>
          <w:rFonts w:ascii="宋体" w:cs="宋体" w:hint="eastAsia"/>
          <w:bCs/>
          <w:iCs/>
          <w:sz w:val="24"/>
        </w:rPr>
        <w:t>1.乙方产品交货且经甲方验收合格后，向甲方提供货物价款的增值税普通发票，甲方在收到增值税普通发票10个工作日内支付费用。</w:t>
      </w:r>
    </w:p>
    <w:p>
      <w:pPr>
        <w:pStyle w:val="178"/>
        <w:adjustRightInd w:val="0"/>
        <w:snapToGrid w:val="0"/>
        <w:spacing w:line="360" w:lineRule="auto"/>
        <w:ind w:firstLineChars="200" w:firstLine="480"/>
        <w:rPr>
          <w:rFonts w:ascii="宋体" w:cs="宋体"/>
          <w:bCs/>
          <w:iCs/>
          <w:sz w:val="24"/>
        </w:rPr>
      </w:pPr>
      <w:r>
        <w:rPr>
          <w:rFonts w:ascii="宋体" w:cs="宋体" w:hint="eastAsia"/>
          <w:bCs/>
          <w:iCs/>
          <w:sz w:val="24"/>
        </w:rPr>
        <w:t>2.因财政集中支付延误时间不计算在内，乙方提交付款单据迟延或缺失的，甲方有权相应顺延付款期限。</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第四条 包装</w:t>
      </w:r>
    </w:p>
    <w:p>
      <w:pPr>
        <w:pStyle w:val="180"/>
        <w:adjustRightInd w:val="0"/>
        <w:snapToGrid w:val="0"/>
        <w:spacing w:line="360" w:lineRule="auto"/>
        <w:ind w:firstLineChars="200" w:firstLine="480"/>
        <w:rPr>
          <w:rFonts w:cs="宋体"/>
          <w:iCs/>
          <w:sz w:val="24"/>
          <w:szCs w:val="24"/>
        </w:rPr>
      </w:pPr>
      <w:r>
        <w:rPr>
          <w:rFonts w:cs="宋体" w:hint="eastAsia"/>
          <w:iCs/>
          <w:sz w:val="24"/>
          <w:szCs w:val="24"/>
        </w:rPr>
        <w:t>（一）除合同另有规定外，乙方提供的全部货物均应按标准保护措施进行包装，这类包装应适应于远距离运输、防潮、防震、防锈和防野蛮装卸，以确保货物安全无损运抵指定交货地点。</w:t>
      </w:r>
    </w:p>
    <w:p>
      <w:pPr>
        <w:pStyle w:val="180"/>
        <w:adjustRightInd w:val="0"/>
        <w:snapToGrid w:val="0"/>
        <w:spacing w:line="360" w:lineRule="auto"/>
        <w:ind w:firstLineChars="200" w:firstLine="480"/>
        <w:rPr>
          <w:rFonts w:cs="宋体"/>
          <w:iCs/>
          <w:sz w:val="24"/>
          <w:szCs w:val="24"/>
        </w:rPr>
      </w:pPr>
      <w:r>
        <w:rPr>
          <w:rFonts w:cs="宋体" w:hint="eastAsia"/>
          <w:iCs/>
          <w:sz w:val="24"/>
          <w:szCs w:val="24"/>
        </w:rPr>
        <w:t>（二）乙方应在包装箱外标明合同名称、合同编号、产品名称、型号，包装箱内随附一份详细装箱单和质量证书。</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w:t>
      </w:r>
      <w:r>
        <w:rPr>
          <w:rFonts w:ascii="宋体" w:cs="宋体"/>
          <w:iCs/>
          <w:sz w:val="24"/>
          <w:szCs w:val="24"/>
        </w:rPr>
        <w:t>三</w:t>
      </w:r>
      <w:r>
        <w:rPr>
          <w:rFonts w:ascii="宋体" w:cs="宋体" w:hint="eastAsia"/>
          <w:iCs/>
          <w:sz w:val="24"/>
          <w:szCs w:val="24"/>
        </w:rPr>
        <w:t>）乙方应承担由于其包装或防护措施不当而引起的货物损坏和丢失的任何损失责任和费用。</w:t>
      </w:r>
    </w:p>
    <w:p>
      <w:pPr>
        <w:pStyle w:val="180"/>
        <w:spacing w:line="360" w:lineRule="auto"/>
        <w:ind w:firstLine="420"/>
        <w:rPr>
          <w:rFonts w:cs="宋体"/>
          <w:iCs/>
          <w:sz w:val="24"/>
          <w:szCs w:val="24"/>
        </w:rPr>
      </w:pPr>
      <w:r>
        <w:rPr>
          <w:rFonts w:cs="宋体" w:hint="eastAsia"/>
          <w:b/>
          <w:bCs/>
          <w:iCs/>
          <w:sz w:val="24"/>
          <w:szCs w:val="24"/>
        </w:rPr>
        <w:t>第五条 交货</w:t>
      </w:r>
    </w:p>
    <w:p>
      <w:pPr>
        <w:pStyle w:val="180"/>
        <w:spacing w:line="360" w:lineRule="auto"/>
        <w:ind w:firstLine="420"/>
        <w:rPr>
          <w:rFonts w:cs="宋体"/>
          <w:iCs/>
          <w:sz w:val="24"/>
          <w:szCs w:val="24"/>
        </w:rPr>
      </w:pPr>
      <w:r>
        <w:rPr>
          <w:rFonts w:cs="宋体" w:hint="eastAsia"/>
          <w:iCs/>
          <w:sz w:val="24"/>
          <w:szCs w:val="24"/>
        </w:rPr>
        <w:t>（一）交货时间：合同签订后_____日内完成交货或安装调试。</w:t>
      </w:r>
    </w:p>
    <w:p>
      <w:pPr>
        <w:pStyle w:val="180"/>
        <w:spacing w:line="360" w:lineRule="auto"/>
        <w:ind w:firstLine="420"/>
        <w:rPr>
          <w:rFonts w:cs="宋体"/>
          <w:iCs/>
          <w:sz w:val="24"/>
          <w:szCs w:val="24"/>
        </w:rPr>
      </w:pPr>
      <w:r>
        <w:rPr>
          <w:rFonts w:cs="宋体" w:hint="eastAsia"/>
          <w:iCs/>
          <w:sz w:val="24"/>
          <w:szCs w:val="24"/>
        </w:rPr>
        <w:t>（二）交货地点：分配清单指定地点，详见附件。</w:t>
      </w:r>
    </w:p>
    <w:p>
      <w:pPr>
        <w:pStyle w:val="180"/>
        <w:spacing w:line="360" w:lineRule="auto"/>
        <w:ind w:firstLineChars="200" w:firstLine="480"/>
        <w:rPr>
          <w:rFonts w:cs="宋体"/>
          <w:iCs/>
          <w:sz w:val="24"/>
          <w:szCs w:val="24"/>
        </w:rPr>
      </w:pPr>
      <w:r>
        <w:rPr>
          <w:rFonts w:cs="宋体" w:hint="eastAsia"/>
          <w:iCs/>
          <w:sz w:val="24"/>
          <w:szCs w:val="24"/>
        </w:rPr>
        <w:t>（三）交货方法：由乙方负责采用适合的交通工具将采购货物及其附件运至交货现场并按甲方要求完成卸货，以双方签署设备到货验收签收单为准，交货时应一并交付货物的有关单证。货物从生产厂运至海关指定地点的运输、劳务及相关保险的办理由乙方负责并承担相应费用。</w:t>
      </w:r>
    </w:p>
    <w:p>
      <w:pPr>
        <w:pStyle w:val="180"/>
        <w:spacing w:line="360" w:lineRule="auto"/>
        <w:ind w:firstLineChars="200" w:firstLine="480"/>
        <w:rPr>
          <w:rFonts w:cs="宋体"/>
          <w:iCs/>
          <w:sz w:val="24"/>
          <w:szCs w:val="24"/>
        </w:rPr>
      </w:pPr>
      <w:r>
        <w:rPr>
          <w:rFonts w:cs="宋体" w:hint="eastAsia"/>
          <w:iCs/>
          <w:sz w:val="24"/>
          <w:szCs w:val="24"/>
        </w:rPr>
        <w:t>（四）风险责任承担：货物的风险责任和所有权在双方签署设备到货验收签收单/安装调试验收合格报告后由甲方承担和享有，此前的风险责任由乙方承担。</w:t>
      </w:r>
    </w:p>
    <w:p>
      <w:pPr>
        <w:pStyle w:val="178"/>
        <w:adjustRightInd w:val="0"/>
        <w:snapToGrid w:val="0"/>
        <w:spacing w:line="360" w:lineRule="auto"/>
        <w:ind w:firstLine="420"/>
        <w:rPr>
          <w:rFonts w:ascii="宋体" w:cs="宋体"/>
          <w:iCs/>
          <w:sz w:val="24"/>
          <w:szCs w:val="24"/>
        </w:rPr>
      </w:pPr>
      <w:r>
        <w:rPr>
          <w:rFonts w:ascii="宋体" w:cs="宋体" w:hint="eastAsia"/>
          <w:b/>
          <w:bCs/>
          <w:iCs/>
          <w:sz w:val="24"/>
          <w:szCs w:val="24"/>
        </w:rPr>
        <w:t>第六条 货物验收</w:t>
      </w:r>
    </w:p>
    <w:p>
      <w:pPr>
        <w:pStyle w:val="180"/>
        <w:spacing w:line="360" w:lineRule="auto"/>
        <w:ind w:firstLineChars="200" w:firstLine="480"/>
        <w:rPr>
          <w:rFonts w:cs="宋体"/>
          <w:iCs/>
          <w:sz w:val="24"/>
          <w:szCs w:val="24"/>
        </w:rPr>
      </w:pPr>
      <w:r>
        <w:rPr>
          <w:rFonts w:cs="宋体" w:hint="eastAsia"/>
          <w:iCs/>
          <w:sz w:val="24"/>
          <w:szCs w:val="24"/>
        </w:rPr>
        <w:t>（一）如需要，乙方须提供产品的原厂技术文件以及验收要求的校准文件或计量证书。属于中华人民共和国强制检定计量器具，乙方须负责提供法定计量证书。所需费用由乙方承担。</w:t>
      </w:r>
    </w:p>
    <w:p>
      <w:pPr>
        <w:pStyle w:val="180"/>
        <w:spacing w:line="360" w:lineRule="auto"/>
        <w:ind w:firstLineChars="200" w:firstLine="480"/>
        <w:rPr>
          <w:rFonts w:cs="宋体"/>
          <w:iCs/>
          <w:sz w:val="24"/>
          <w:szCs w:val="24"/>
        </w:rPr>
      </w:pPr>
      <w:r>
        <w:rPr>
          <w:rFonts w:cs="宋体" w:hint="eastAsia"/>
          <w:iCs/>
          <w:sz w:val="24"/>
          <w:szCs w:val="24"/>
        </w:rPr>
        <w:t>（二）乙方设备供货、安装施工、调试、工程验收、货物运输、售后服务等均应符合国家相关法律、法规以及国家标准、相关行业标准。乙方提供设备的制造标准、安装标准及技术规范等有关资料必须符合国家相应的有关标准、规范要求。</w:t>
      </w:r>
    </w:p>
    <w:p>
      <w:pPr>
        <w:pStyle w:val="180"/>
        <w:spacing w:line="360" w:lineRule="auto"/>
        <w:ind w:firstLineChars="200" w:firstLine="480"/>
        <w:rPr>
          <w:rFonts w:cs="宋体"/>
          <w:iCs/>
          <w:sz w:val="24"/>
          <w:szCs w:val="24"/>
        </w:rPr>
      </w:pPr>
      <w:r>
        <w:rPr>
          <w:rFonts w:cs="宋体" w:hint="eastAsia"/>
          <w:iCs/>
          <w:sz w:val="24"/>
          <w:szCs w:val="24"/>
        </w:rPr>
        <w:t>（三）乙方应向甲方提供完整的设备技术资料、货物制造商的出厂检验报告、合格证书、产品保证书、认证书、及政府许可证明、说明书等，保证产品和安装材料是新生产、未经过使用的原装原厂正品。如在交付使用前发生设备损坏和不合格，甲方有权要求退货，因此造成的一切损失由供应商承担。</w:t>
      </w:r>
    </w:p>
    <w:p>
      <w:pPr>
        <w:pStyle w:val="180"/>
        <w:spacing w:line="360" w:lineRule="auto"/>
        <w:ind w:firstLineChars="200" w:firstLine="480"/>
        <w:rPr>
          <w:rFonts w:cs="宋体"/>
          <w:iCs/>
          <w:sz w:val="24"/>
          <w:szCs w:val="24"/>
        </w:rPr>
      </w:pPr>
      <w:r>
        <w:rPr>
          <w:rFonts w:cs="宋体" w:hint="eastAsia"/>
          <w:iCs/>
          <w:sz w:val="24"/>
          <w:szCs w:val="24"/>
        </w:rPr>
        <w:t>（四）乙方根据合同要求进行系统安装、调试后，由甲方进行使用性能方面的验收，确保在使用过程内具有满意的性能。如质量不符合要求，供应商应无条件及时更换并不得以任何原因拖延。</w:t>
      </w:r>
    </w:p>
    <w:p>
      <w:pPr>
        <w:pStyle w:val="180"/>
        <w:spacing w:line="360" w:lineRule="auto"/>
        <w:ind w:firstLineChars="200" w:firstLine="480"/>
        <w:rPr>
          <w:rFonts w:cs="宋体"/>
          <w:iCs/>
          <w:sz w:val="24"/>
          <w:szCs w:val="24"/>
        </w:rPr>
      </w:pPr>
      <w:r>
        <w:rPr>
          <w:rFonts w:cs="宋体" w:hint="eastAsia"/>
          <w:iCs/>
          <w:sz w:val="24"/>
          <w:szCs w:val="24"/>
        </w:rPr>
        <w:t>（五）甲方根据比选文件、乙方的竞标文件、合同、制造厂商的产品验收标准及中华人民共和国有关标准进行验收。甲方有权委托中国具权威资质机构对设备的灵敏度、测量精度等技术性能进行验收。因乙方所提供的产品未达到比选文件中技术性能指标的，一律拒收，不予付款，甲方有权因此终止合同的执行，乙方将自行承担所有经济损失；同时，甲方将保留向乙方因设备延迟到位而造成对口岸检验业务的不良影响追索相应“违约”责任的权利。</w:t>
      </w:r>
    </w:p>
    <w:p>
      <w:pPr>
        <w:pStyle w:val="178"/>
        <w:adjustRightInd w:val="0"/>
        <w:snapToGrid w:val="0"/>
        <w:spacing w:line="360" w:lineRule="auto"/>
        <w:ind w:firstLineChars="200" w:firstLine="480"/>
        <w:rPr>
          <w:rFonts w:ascii="宋体" w:cs="宋体"/>
          <w:iCs/>
          <w:sz w:val="24"/>
          <w:szCs w:val="24"/>
        </w:rPr>
      </w:pPr>
      <w:r>
        <w:rPr>
          <w:rFonts w:ascii="宋体" w:cs="宋体" w:hint="eastAsia"/>
          <w:b/>
          <w:bCs/>
          <w:iCs/>
          <w:sz w:val="24"/>
          <w:szCs w:val="24"/>
        </w:rPr>
        <w:t>第七条 质量保证</w:t>
      </w:r>
    </w:p>
    <w:p>
      <w:pPr>
        <w:pStyle w:val="178"/>
        <w:spacing w:line="360" w:lineRule="auto"/>
        <w:rPr>
          <w:rFonts w:ascii="宋体" w:cs="宋体"/>
          <w:sz w:val="24"/>
          <w:szCs w:val="24"/>
        </w:rPr>
      </w:pPr>
      <w:r>
        <w:rPr>
          <w:rFonts w:ascii="宋体" w:cs="宋体" w:hint="eastAsia"/>
          <w:sz w:val="24"/>
          <w:szCs w:val="24"/>
        </w:rPr>
        <w:t>（一）质保期3年，从验收合格之日起计算。</w:t>
      </w:r>
    </w:p>
    <w:p>
      <w:pPr>
        <w:pStyle w:val="178"/>
        <w:spacing w:line="360" w:lineRule="auto"/>
        <w:rPr>
          <w:rFonts w:ascii="宋体" w:cs="宋体"/>
          <w:sz w:val="24"/>
          <w:szCs w:val="24"/>
        </w:rPr>
      </w:pPr>
      <w:r>
        <w:rPr>
          <w:rFonts w:ascii="宋体" w:cs="宋体" w:hint="eastAsia"/>
          <w:sz w:val="24"/>
          <w:szCs w:val="24"/>
        </w:rPr>
        <w:t>（二）质保期内需提供软件升级，若后续因国家政策变动，需要扩大对两用物项和稀土元素的管控范围，在硬件系统支持的情况下，乙方需提供免费软件升级。</w:t>
      </w:r>
    </w:p>
    <w:p>
      <w:pPr>
        <w:pStyle w:val="178"/>
        <w:spacing w:line="360" w:lineRule="auto"/>
        <w:rPr>
          <w:rFonts w:ascii="宋体" w:cs="宋体"/>
          <w:sz w:val="24"/>
          <w:szCs w:val="24"/>
        </w:rPr>
      </w:pPr>
      <w:r>
        <w:rPr>
          <w:rFonts w:ascii="宋体" w:cs="宋体" w:hint="eastAsia"/>
          <w:sz w:val="24"/>
          <w:szCs w:val="24"/>
        </w:rPr>
        <w:t>（三）质保期内，如设备出现问题需要维修，在维修期间应提供备用设备供海关使用。</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第八条 安装和培训</w:t>
      </w:r>
    </w:p>
    <w:p>
      <w:pPr>
        <w:pStyle w:val="180"/>
        <w:spacing w:line="360" w:lineRule="auto"/>
        <w:ind w:firstLineChars="200" w:firstLine="480"/>
        <w:rPr>
          <w:rFonts w:cs="宋体"/>
          <w:iCs/>
          <w:sz w:val="24"/>
          <w:szCs w:val="24"/>
        </w:rPr>
      </w:pPr>
      <w:r>
        <w:rPr>
          <w:rFonts w:cs="宋体" w:hint="eastAsia"/>
          <w:iCs/>
          <w:sz w:val="24"/>
          <w:szCs w:val="24"/>
        </w:rPr>
        <w:t>（一）乙方负责将设备运至甲方指定的地点，免费负责安装，调试。中标价应包含产品的制造、材料费（主材及辅材）、运输、安装、验收、保修、税收、所有手续费等直至验收合格交付甲方使用的所有相关费用。货到后，乙方派专业技术人员到现成安装调试。</w:t>
      </w:r>
    </w:p>
    <w:p>
      <w:pPr>
        <w:pStyle w:val="180"/>
        <w:spacing w:line="360" w:lineRule="auto"/>
        <w:ind w:firstLineChars="200" w:firstLine="480"/>
        <w:rPr>
          <w:rFonts w:cs="宋体"/>
          <w:iCs/>
          <w:sz w:val="24"/>
          <w:szCs w:val="24"/>
        </w:rPr>
      </w:pPr>
      <w:r>
        <w:rPr>
          <w:rFonts w:cs="宋体" w:hint="eastAsia"/>
          <w:iCs/>
          <w:sz w:val="24"/>
          <w:szCs w:val="24"/>
        </w:rPr>
        <w:t>（二）现场培训：乙方应提供仪器基本操作和维护知识进行免费的培训，保证相关人员能独立上机进行基本操作和数据处理。如有用户有因人员流动，需要进行培训，乙方应对用户新增实验人员进行免费现场培训。</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第九条 售后服务</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质保期内如设备出现故障，在合同约定时间内，乙方提供免费提供原厂维修和更换配件服务。乙方应提供7*24小时的技术支持与售后服务，提供专线电话支持服务，出现故障时，需在24小时作出相应的问题答复；如电话不能解决问题，维修人员需在2个工作日内到达现场。</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（二）质保期外：质保期满后提供有偿维修服务，接到故障通知后2个工作日到现场解决故障。</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第十条 验收</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（一）如需要，乙方须提供产品的原厂技术文件以及验收要求的校准文件或计量证书。属于中华人民共和国强制检定计量器具，乙方须负责提供法定计量证书。所需费用由乙方承担。</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乙方设备供货、安装施工、调试、工程验收、货物运输、售后服务等均应符合国家相关法律、法规以及国家标准、相关行业标准。乙方提供设备的制造标准、安装标准及技术规范等有关资料必须符合国家相应的有关标准、规范要求。</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乙方应向甲方提供完整的设备技术资料、货物制造商的出厂检验报告、合格证书、产品保证书、认证书、及政府许可证明、说明书等，保证产品和安装材料是新生产、未经过使用的原装原厂正品。如在交付使用前发生设备损坏和不合格，甲方有权要求退货，因此造成的一切损失由供应商承担。</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（四）乙方根据合同要求进行系统安装、调试后，由甲方进行使用性能方面的验收，确保在使用过程内具有满意的性能。如质量不符合要求，供应商应无条件及时更换并不得以任何原因拖延。</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五）甲方根据比选文件、乙方的竞标文件、合同、制造厂商的产品验收标准及中华人民共和国有关标准进行验收。甲方有权委托中国具权威资质机构对设备的灵敏度、测量精度等技术性能进行验收。因乙方所提供的产品未达到比选文件中技术性能指标的，一律拒收，不予付款，甲方有权因此终止合同的执行，乙方将自行承担所有经济损失；同时，甲方将保留向乙方因设备延迟到位而造成对口岸检验业务的不良影响追索相应“违约”责任的权利。</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第十一条 违约责任</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（一）因乙方原因未能按照本合同要求交付合格的货物或提供相关服务的违约责任。</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（1）退货：甲方将货物退回乙方，乙方将合同货款退还给甲方，并承担由此发生的一切损失和费用。</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（2）退货重新制作：甲方将货物退回乙方，乙方按照技术标准要求重新制作，并承担由此发生的一切损失和费用。</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（3）新货替换：乙方用满足技术标准要求的货物替换存在缺陷的产品，承担甲方蒙受的全部损失和费用，并承担由此引发的一切风险，且相应延长所换货物的质量保证期。</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乙方除按上述约定采取措施外，还要根据违约程度承担相应违约金，违约金可按要求直接支付，也可从货款中扣除。</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2.</w:t>
      </w:r>
      <w:r>
        <w:rPr>
          <w:rFonts w:ascii="宋体" w:cs="宋体" w:hint="eastAsia"/>
          <w:bCs/>
          <w:iCs/>
          <w:sz w:val="24"/>
          <w:szCs w:val="24"/>
        </w:rPr>
        <w:t>如果乙方</w:t>
      </w:r>
      <w:r>
        <w:rPr>
          <w:rFonts w:ascii="宋体" w:cs="宋体" w:hint="eastAsia"/>
          <w:iCs/>
          <w:sz w:val="24"/>
          <w:szCs w:val="24"/>
        </w:rPr>
        <w:t>未在甲方要求的10日内或甲方同意的期限内，按照上述任何一种方式采取补救措施，甲方有权解除合同，并要求乙方退回甲方已支付的货款作为违约金，并视损失情况根据《中华人民共和国民法典》有关规定追究其相关责任，赔偿甲方（用户）的全部损失（包括但不限于赔偿甲方另行委托第三人完成本合同内容而超支的费用）。</w:t>
      </w:r>
    </w:p>
    <w:p>
      <w:pPr>
        <w:pStyle w:val="181"/>
        <w:adjustRightInd w:val="0"/>
        <w:snapToGrid w:val="0"/>
        <w:spacing w:line="360" w:lineRule="auto"/>
        <w:ind w:left="-134" w:firstLineChars="200" w:firstLine="480"/>
        <w:jc w:val="left"/>
        <w:rPr>
          <w:rFonts w:ascii="宋体" w:cs="宋体"/>
          <w:iCs/>
          <w:color w:val="auto"/>
          <w:sz w:val="24"/>
          <w:szCs w:val="24"/>
        </w:rPr>
      </w:pPr>
      <w:r>
        <w:rPr>
          <w:rFonts w:ascii="宋体" w:cs="宋体" w:hint="eastAsia"/>
          <w:iCs/>
          <w:color w:val="auto"/>
          <w:sz w:val="24"/>
          <w:szCs w:val="24"/>
        </w:rPr>
        <w:t>3</w:t>
      </w:r>
      <w:r>
        <w:rPr>
          <w:rFonts w:ascii="宋体" w:cs="宋体" w:hint="eastAsia"/>
          <w:iCs/>
          <w:color w:val="auto"/>
          <w:sz w:val="24"/>
          <w:szCs w:val="24"/>
          <w:lang w:val="en-US"/>
        </w:rPr>
        <w:t>.</w:t>
      </w:r>
      <w:r>
        <w:rPr>
          <w:rFonts w:ascii="宋体" w:cs="宋体" w:hint="eastAsia"/>
          <w:iCs/>
          <w:color w:val="auto"/>
          <w:sz w:val="24"/>
          <w:szCs w:val="24"/>
        </w:rPr>
        <w:t>对于未能按合同要求提供服务或被证实未提供应当承担的服务的，甲方有权要求限期整改。无合理理由不进行整改的视为根本违约。</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（二）乙方未按照本合同规定的时间交货和提供服务的违约责任。</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2.除甲乙双方另有约定外，如果乙方没有按照合同规定的时间交货和提供服务，甲方有权在不影响合同项下其他补救措施的情况下，要求乙方支付误期赔偿费，或从合同货款中扣除误期赔偿费。赔偿费按每周迟交货物价格的万分之五计收，直到交货或提供服务为止。但误期赔偿费的最高限额不超过误期货物或服务合同价格的百分之十（10%）。</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3.一旦达到误期赔偿的最高限额，甲方有权解除合同，要求乙方退回甲方已支付货款并追究乙方相应违约责任、赔偿甲方（用户）的全部损失。</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因乙方或乙方工作人员或乙方相关方的作为或不作为行为致使甲方或第三方遭受人员人身伤害或财产损失的，乙方应承担全部赔偿责任，赔偿全部损失（包括但不限于赔偿甲方为解决纠纷而支出的鉴定费、诉讼费、保全费、担保费、公证费、律师代理费及向相关权利人支付的赔偿款等费用），且甲方有权解除本合同。</w:t>
      </w:r>
    </w:p>
    <w:p>
      <w:pPr>
        <w:pStyle w:val="182"/>
        <w:spacing w:line="360" w:lineRule="auto"/>
        <w:ind w:firstLineChars="200" w:firstLine="480"/>
        <w:rPr>
          <w:rFonts w:ascii="宋体" w:cs="宋体"/>
          <w:iCs/>
          <w:sz w:val="24"/>
          <w:szCs w:val="24"/>
        </w:rPr>
      </w:pPr>
      <w:r>
        <w:rPr>
          <w:rFonts w:ascii="宋体" w:cs="宋体" w:hint="eastAsia"/>
          <w:iCs/>
          <w:sz w:val="24"/>
          <w:szCs w:val="24"/>
        </w:rPr>
        <w:t>（四）非因不可抗力或乙方原因，甲方无正当理由逾期支付的，应按应付未付金额万分之一按日向乙方支付逾期违约金。</w:t>
      </w:r>
    </w:p>
    <w:p>
      <w:pPr>
        <w:pStyle w:val="178"/>
        <w:adjustRightInd w:val="0"/>
        <w:snapToGrid w:val="0"/>
        <w:spacing w:line="360" w:lineRule="auto"/>
        <w:ind w:firstLineChars="200" w:firstLine="480"/>
        <w:rPr>
          <w:rFonts w:ascii="宋体" w:cs="宋体"/>
          <w:b/>
          <w:iCs/>
          <w:sz w:val="24"/>
          <w:szCs w:val="24"/>
        </w:rPr>
      </w:pPr>
      <w:r>
        <w:rPr>
          <w:rFonts w:ascii="宋体" w:cs="宋体" w:hint="eastAsia"/>
          <w:b/>
          <w:iCs/>
          <w:sz w:val="24"/>
          <w:szCs w:val="24"/>
        </w:rPr>
        <w:t>第十二条 异议的期限和方法</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（一）异议期限自质量保证期开始之日起3个月内。如果属于产品设计、材料、工艺或其他潜在的质量缺陷，甲方（用户）以书面形式提出异议及其处理意见。</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（二）乙方接到甲方（用户）书面异议及其处理意见后，应在10日内到甲方（用户）项目现场处理，否则即视为默认甲方（用户）提出的异议和处理意见。</w:t>
      </w:r>
    </w:p>
    <w:p>
      <w:pPr>
        <w:pStyle w:val="178"/>
        <w:adjustRightInd w:val="0"/>
        <w:snapToGrid w:val="0"/>
        <w:spacing w:line="360" w:lineRule="auto"/>
        <w:ind w:firstLineChars="200" w:firstLine="480"/>
        <w:rPr>
          <w:rFonts w:ascii="宋体" w:cs="宋体"/>
          <w:b/>
          <w:iCs/>
          <w:sz w:val="24"/>
          <w:szCs w:val="24"/>
        </w:rPr>
      </w:pPr>
      <w:r>
        <w:rPr>
          <w:rFonts w:ascii="宋体" w:cs="宋体" w:hint="eastAsia"/>
          <w:b/>
          <w:iCs/>
          <w:sz w:val="24"/>
          <w:szCs w:val="24"/>
        </w:rPr>
        <w:t>第十三条 使用合同文件和资料</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（二）没有甲方（用户）事先书面同意，除了履行本合同之外，乙方不应使用、传播与本合同相关的任何文件、资料。</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第十四条 知识产权</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（三）如乙方提供的货物或服务确实侵犯了第三方合法权益（包括但不限于知识产权）的，甲方有权解除合同，要求乙方退回已支付的全部货款，并赔偿甲方的全部损失及支出的合理费用。</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第十五条 权利瑕疵担保</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（一）乙方保证对其所提供的货物享有完全的所有权等合法权利，不存在任何未曾向甲方（用户）透露的担保物权（如抵押权、质押权、留置权等）或其他任何权利负担或争议。</w:t>
      </w:r>
    </w:p>
    <w:p>
      <w:pPr>
        <w:pStyle w:val="183"/>
        <w:adjustRightInd w:val="0"/>
        <w:snapToGrid w:val="0"/>
        <w:rPr>
          <w:rFonts w:ascii="宋体"/>
          <w:iCs/>
          <w:szCs w:val="24"/>
        </w:rPr>
      </w:pPr>
      <w:r>
        <w:rPr>
          <w:rFonts w:ascii="宋体" w:hint="eastAsia"/>
          <w:iCs/>
          <w:szCs w:val="24"/>
        </w:rPr>
        <w:t>（</w:t>
      </w:r>
      <w:r>
        <w:rPr>
          <w:rFonts w:ascii="宋体" w:hint="eastAsia"/>
          <w:iCs/>
          <w:kern w:val="0"/>
          <w:szCs w:val="24"/>
        </w:rPr>
        <w:t>二）乙方应保证所提供的货物免受第三方提出的任何权利主张，如因第三方提出权利主张给甲方（用户）造成损失的，乙方应予以赔偿。</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（三）如乙方所提供的货物存在前述担保货物或权利负担，甲方（用户）有权解除合同，并要求乙方退还已支付的全部货款，赔偿甲方（用户）的全部损失及支出的合理费用。</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第十六条 不可抗力及其免责</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（一）如果乙方因不可抗力而导致合同实施延误或不能履行合同义务时，在不可抗力影响的范围内不应该承担误期赔偿或终止合同的责任。</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十五天，双方应通过友好协商在合理的时间内就进一步实施合同达成协议。</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（三）乙方在延迟履行合同期间由于不可抗力而不能履行合同的，不能被免除责任。</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（四）甲方（用户）如遇不可抗力，应尽快以书面形式通知乙方，并尽实际可能履行不受不可抗力影响的其他事项。甲方（用户）不承担因不可抗力不能履行合同所造成的损失。</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（五）本条所述的“不可抗力”指那些不能预见、不能避免并不能克服的客观情况，包括但不限于战争、动乱、严重火灾、洪水、台风、地震等及其他双方同意的情况，但不包括违约或疏忽。</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第十七条 争议的解决</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合同实施或与合同有关的一切争议应通过双方友好协商解决。如果友好协商</w:t>
      </w:r>
      <w:r>
        <w:rPr>
          <w:rFonts w:ascii="宋体" w:cs="宋体"/>
          <w:iCs/>
          <w:sz w:val="24"/>
          <w:szCs w:val="24"/>
          <w:u w:val="single"/>
        </w:rPr>
        <w:t>20</w:t>
      </w:r>
      <w:r>
        <w:rPr>
          <w:rFonts w:ascii="宋体" w:cs="宋体" w:hint="eastAsia"/>
          <w:iCs/>
          <w:sz w:val="24"/>
          <w:szCs w:val="24"/>
          <w:u w:val="single"/>
        </w:rPr>
        <w:t xml:space="preserve"> </w:t>
      </w:r>
      <w:r>
        <w:rPr>
          <w:rFonts w:ascii="宋体" w:cs="宋体" w:hint="eastAsia"/>
          <w:iCs/>
          <w:sz w:val="24"/>
          <w:szCs w:val="24"/>
        </w:rPr>
        <w:t>日内不能解决，可以向甲方所在地有管辖权的人民法院提起诉讼。</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第十八条 合同修改或变更</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（一）如无重大变故，甲乙双方不得擅自变更合同。</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（二）如确需变更合同，甲乙双方应签署书面变更协议。变更协议为本合同不可分割的一部分。</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（三）在不改变合同其他条款的前提下，甲方（用户）有权在合同价款10%的范围内追加与合同标的相同的货物或服务，并就此与乙方签订补充合同，乙方不得拒绝。</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第十九条 合同中止</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（一）合同在履行过程中，因采购计划调整，甲方（用户）可以要求中止履行，待计划确定后继续履行。</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（二）合同签订或履行过程中因其他供应商就采购过程或结果提起质疑、投诉、行政复议、行政诉讼的，甲方（用户）认为有必要或财政部门责令中止的，应当中止合同的履行。</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第二十条 合同解除</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（一）因违约解除合同</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1.在甲方（用户）对乙方违约而采取的任何补救措施不受影响的情况下，甲方（用户）可向乙方发出书面违约通知书，提出解除部分或全部合同：</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（1）如果乙方未能在合同规定的期限或甲方（用户）根据合同条款的规定同意延长的限期内提供部分或全部的货物或服务，达到合同所规定的要求；</w:t>
      </w:r>
    </w:p>
    <w:p>
      <w:pPr>
        <w:pStyle w:val="178"/>
        <w:spacing w:line="360" w:lineRule="auto"/>
        <w:ind w:firstLine="420"/>
        <w:rPr>
          <w:rFonts w:ascii="宋体" w:cs="宋体"/>
          <w:iCs/>
          <w:sz w:val="24"/>
          <w:szCs w:val="24"/>
        </w:rPr>
      </w:pPr>
      <w:r>
        <w:rPr>
          <w:rFonts w:ascii="宋体" w:cs="宋体" w:hint="eastAsia"/>
          <w:iCs/>
          <w:sz w:val="24"/>
          <w:szCs w:val="24"/>
        </w:rPr>
        <w:t>（2）如果甲方（用户）发现乙方在本合同的竞争或实施中有欺诈行为。</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（3）如果乙方未能履行合同规定的其他任何义务。</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2.如果甲方（用户）根据上述规定与乙方全部或部分解除合同，</w:t>
      </w:r>
      <w:r>
        <w:rPr>
          <w:rFonts w:ascii="宋体" w:cs="宋体" w:hint="eastAsia"/>
          <w:bCs/>
          <w:iCs/>
          <w:sz w:val="24"/>
          <w:szCs w:val="24"/>
        </w:rPr>
        <w:t>甲方（用户）可以依其认为适当的条件和方法购买乙方未能提供的货物或服务，乙方应对甲方购买类似货物或服务所超出的费用负责</w:t>
      </w:r>
      <w:r>
        <w:rPr>
          <w:rFonts w:ascii="宋体" w:cs="宋体" w:hint="eastAsia"/>
          <w:iCs/>
          <w:sz w:val="24"/>
          <w:szCs w:val="24"/>
        </w:rPr>
        <w:t>。</w:t>
      </w:r>
      <w:r>
        <w:rPr>
          <w:rFonts w:ascii="宋体" w:cs="宋体" w:hint="eastAsia"/>
          <w:bCs/>
          <w:iCs/>
          <w:sz w:val="24"/>
          <w:szCs w:val="24"/>
        </w:rPr>
        <w:t>同时，乙方应继续执行合同中未解除的部分。</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（二）因破产而解除合同</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1.如果乙方破产或无清偿能力，甲方（用户）可在任何时候以书面形式通知乙方，提出解除合同而不给乙方补偿，并有权要求乙方退回甲方（用户）已支付的合同货款。</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2.该解除合同将不损害或影响甲方已经采取或将要采取的任何行动或补救措施的权利。</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（三）其他解除合同情况</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1.若合同继续履行将给甲方造成重大损失的，甲方（用户）可以解除合同而不给予乙方任何补偿。</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2.乙方在执行合同的过程中发生重大变故，对履行合同有影响的，甲方（用户）可以解除合同而不给予乙方任何补偿。</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3.甲方（用户）因重大变故取消或部分取消原来的采购任务，导致合同全部或部分内容无需继续履行的，可以解除合同而不给予乙方任何补偿。</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第二十一条 合同转让和分包</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（一）乙方不得以任何形式将合同转包，或部分或全部转让其应履行的合同义务。</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（二）除经甲方（用户）事先书面同意外，乙方不得以任何形式将合同分包。</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乙方擅自转包或分包的，甲方有权解除本合同，并要求乙方退还已支付的全部货款，赔偿甲方（用户）全部损失及支出的合理费用。</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第二十二条 其他</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1.中标通知书（成交通知书）、中标人的响应文件/应答文件、比选文件/谈判文件/询价通知书/磋商文件/单一来源、合同条款、合同附件（协商、变更的，明确双方权利义务的，以书面形式而表现出来的协议或书面通知或确认书等）是本合同不可分割的部分，与本合同具有同等法律效力。</w:t>
      </w:r>
    </w:p>
    <w:p>
      <w:pPr>
        <w:pStyle w:val="182"/>
        <w:spacing w:line="360" w:lineRule="auto"/>
        <w:ind w:firstLineChars="200" w:firstLine="480"/>
        <w:rPr>
          <w:rFonts w:ascii="宋体" w:cs="宋体"/>
          <w:iCs/>
          <w:sz w:val="24"/>
          <w:szCs w:val="24"/>
        </w:rPr>
      </w:pPr>
      <w:r>
        <w:rPr>
          <w:rFonts w:ascii="宋体" w:cs="宋体" w:hint="eastAsia"/>
          <w:iCs/>
          <w:sz w:val="24"/>
          <w:szCs w:val="24"/>
        </w:rPr>
        <w:t>2.甲方确认其合同往来文件及法律文书的有效送达地址为【】，收件人为【】，联系电话为【】；乙方确认其合同往来文件及法律文书的有效送达地址为【】，收件人为【】，联系电话为【】。</w:t>
      </w:r>
    </w:p>
    <w:p>
      <w:pPr>
        <w:pStyle w:val="182"/>
        <w:spacing w:line="360" w:lineRule="auto"/>
        <w:ind w:firstLineChars="200" w:firstLine="480"/>
        <w:rPr>
          <w:rFonts w:ascii="宋体" w:cs="宋体"/>
          <w:iCs/>
          <w:sz w:val="24"/>
          <w:szCs w:val="24"/>
        </w:rPr>
      </w:pPr>
      <w:r>
        <w:rPr>
          <w:rFonts w:ascii="宋体" w:cs="宋体" w:hint="eastAsia"/>
          <w:iCs/>
          <w:sz w:val="24"/>
          <w:szCs w:val="24"/>
        </w:rPr>
        <w:t>双方确认：一方提供的送达地址不准确或送达地址变更后未及时通知对方导致合同往来文件及法律文书未能被实际接收的，或一方拒绝接收合同往来文件及法律文书的，若是邮寄送达，则以邮件退回之日视为送达之日；若是直接送达，则以送达人在送达回证上记明情况之日视为送达之日。</w:t>
      </w:r>
    </w:p>
    <w:p>
      <w:pPr>
        <w:pStyle w:val="182"/>
        <w:spacing w:line="360" w:lineRule="auto"/>
        <w:ind w:firstLineChars="200" w:firstLine="480"/>
        <w:rPr>
          <w:rFonts w:ascii="宋体" w:cs="宋体"/>
          <w:iCs/>
          <w:sz w:val="24"/>
          <w:szCs w:val="24"/>
        </w:rPr>
      </w:pPr>
      <w:r>
        <w:rPr>
          <w:rFonts w:ascii="宋体" w:cs="宋体" w:hint="eastAsia"/>
          <w:iCs/>
          <w:sz w:val="24"/>
          <w:szCs w:val="24"/>
        </w:rPr>
        <w:t xml:space="preserve">如一方地址、电话、传真号码有变更，应在变更之日起  日内书面通知对方，否则，应承担相应责任。 </w:t>
      </w:r>
    </w:p>
    <w:p>
      <w:pPr>
        <w:pStyle w:val="182"/>
        <w:spacing w:line="360" w:lineRule="auto"/>
        <w:ind w:firstLineChars="200" w:firstLine="480"/>
        <w:rPr>
          <w:rFonts w:ascii="宋体" w:cs="宋体"/>
          <w:iCs/>
          <w:sz w:val="24"/>
          <w:szCs w:val="24"/>
        </w:rPr>
      </w:pPr>
      <w:r>
        <w:rPr>
          <w:rFonts w:ascii="宋体" w:cs="宋体" w:hint="eastAsia"/>
          <w:iCs/>
          <w:sz w:val="24"/>
          <w:szCs w:val="24"/>
        </w:rPr>
        <w:t>因以上地址注明不准确或以上地址变更后未及时书面告知对方，导致合同往来文件及法律文书未被签收等情形的，应自行承担有效送达的法律后果。</w:t>
      </w:r>
    </w:p>
    <w:p>
      <w:pPr>
        <w:pStyle w:val="178"/>
        <w:adjustRightInd w:val="0"/>
        <w:snapToGrid w:val="0"/>
        <w:spacing w:line="360" w:lineRule="auto"/>
        <w:ind w:firstLineChars="200" w:firstLine="480"/>
        <w:rPr>
          <w:rFonts w:ascii="宋体" w:cs="宋体"/>
          <w:b/>
          <w:bCs/>
          <w:iCs/>
          <w:sz w:val="24"/>
          <w:szCs w:val="24"/>
        </w:rPr>
      </w:pPr>
      <w:r>
        <w:rPr>
          <w:rFonts w:ascii="宋体" w:cs="宋体" w:hint="eastAsia"/>
          <w:b/>
          <w:bCs/>
          <w:iCs/>
          <w:sz w:val="24"/>
          <w:szCs w:val="24"/>
        </w:rPr>
        <w:t>第二十三条 合同生效</w:t>
      </w:r>
    </w:p>
    <w:p>
      <w:pPr>
        <w:pStyle w:val="178"/>
        <w:adjustRightInd w:val="0"/>
        <w:snapToGrid w:val="0"/>
        <w:spacing w:line="360" w:lineRule="auto"/>
        <w:ind w:firstLineChars="200" w:firstLine="480"/>
        <w:rPr>
          <w:rFonts w:ascii="宋体" w:cs="宋体"/>
          <w:iCs/>
          <w:sz w:val="24"/>
          <w:szCs w:val="24"/>
        </w:rPr>
      </w:pPr>
      <w:r>
        <w:rPr>
          <w:rFonts w:ascii="宋体" w:cs="宋体" w:hint="eastAsia"/>
          <w:iCs/>
          <w:sz w:val="24"/>
          <w:szCs w:val="24"/>
        </w:rPr>
        <w:t>本合同一式___份，甲方执___份，乙方执___份；自甲乙双方签字盖章之日起生效。对本合同的任何更改及补充，均需双方共同协商，并以书面形式盖章确认。</w:t>
      </w:r>
    </w:p>
    <w:p>
      <w:pPr>
        <w:widowControl/>
        <w:jc w:val="left"/>
        <w:rPr>
          <w:rFonts w:ascii="宋体" w:cs="宋体"/>
          <w:iCs/>
          <w:kern w:val="0"/>
          <w:sz w:val="24"/>
        </w:rPr>
      </w:pPr>
      <w:r>
        <w:rPr>
          <w:rFonts w:ascii="宋体" w:cs="宋体"/>
          <w:iCs/>
          <w:sz w:val="24"/>
        </w:rPr>
        <w:br w:type="page"/>
      </w:r>
    </w:p>
    <w:p>
      <w:pPr>
        <w:pStyle w:val="178"/>
        <w:adjustRightInd w:val="0"/>
        <w:snapToGrid w:val="0"/>
        <w:spacing w:line="360" w:lineRule="auto"/>
        <w:ind w:firstLineChars="200" w:firstLine="480"/>
        <w:rPr>
          <w:rFonts w:ascii="宋体" w:cs="宋体"/>
          <w:iCs/>
          <w:sz w:val="24"/>
          <w:szCs w:val="24"/>
        </w:rPr>
      </w:pPr>
    </w:p>
    <w:p>
      <w:pPr>
        <w:pStyle w:val="182"/>
        <w:spacing w:line="360" w:lineRule="auto"/>
        <w:rPr>
          <w:rFonts w:ascii="宋体" w:cs="宋体"/>
          <w:iCs/>
          <w:sz w:val="24"/>
          <w:szCs w:val="24"/>
        </w:rPr>
      </w:pPr>
    </w:p>
    <w:p>
      <w:pPr>
        <w:pStyle w:val="1"/>
        <w:tabs>
          <w:tab w:val="left" w:pos="432"/>
        </w:tabs>
        <w:rPr>
          <w:rFonts w:ascii="宋体" w:eastAsia="宋体"/>
          <w:b/>
          <w:sz w:val="44"/>
          <w:szCs w:val="44"/>
        </w:rPr>
      </w:pPr>
    </w:p>
    <w:p>
      <w:pPr>
        <w:pStyle w:val="1"/>
        <w:tabs>
          <w:tab w:val="left" w:pos="432"/>
        </w:tabs>
        <w:rPr>
          <w:rFonts w:ascii="宋体" w:eastAsia="宋体"/>
          <w:b/>
          <w:sz w:val="44"/>
          <w:szCs w:val="44"/>
        </w:rPr>
      </w:pPr>
    </w:p>
    <w:p>
      <w:pPr>
        <w:pStyle w:val="1"/>
        <w:tabs>
          <w:tab w:val="left" w:pos="432"/>
        </w:tabs>
        <w:rPr>
          <w:rFonts w:ascii="宋体" w:eastAsia="宋体"/>
          <w:b/>
          <w:sz w:val="44"/>
          <w:szCs w:val="44"/>
        </w:rPr>
      </w:pPr>
    </w:p>
    <w:p>
      <w:pPr>
        <w:pStyle w:val="1"/>
        <w:tabs>
          <w:tab w:val="left" w:pos="432"/>
        </w:tabs>
        <w:rPr>
          <w:rFonts w:ascii="宋体" w:eastAsia="宋体"/>
          <w:b/>
          <w:sz w:val="44"/>
          <w:szCs w:val="44"/>
        </w:rPr>
      </w:pPr>
    </w:p>
    <w:p>
      <w:pPr>
        <w:pStyle w:val="1"/>
        <w:tabs>
          <w:tab w:val="left" w:pos="432"/>
        </w:tabs>
        <w:rPr>
          <w:rFonts w:ascii="宋体" w:eastAsia="宋体"/>
          <w:b/>
          <w:sz w:val="44"/>
          <w:szCs w:val="44"/>
        </w:rPr>
      </w:pPr>
      <w:r>
        <w:rPr>
          <w:rFonts w:ascii="宋体" w:eastAsia="宋体" w:hint="eastAsia"/>
          <w:b/>
          <w:sz w:val="44"/>
          <w:szCs w:val="44"/>
        </w:rPr>
        <w:t>第六章</w:t>
      </w:r>
      <w:r>
        <w:rPr>
          <w:rFonts w:ascii="宋体" w:eastAsia="宋体"/>
          <w:b/>
          <w:sz w:val="44"/>
          <w:szCs w:val="44"/>
        </w:rPr>
        <w:t xml:space="preserve"> </w:t>
      </w:r>
      <w:r>
        <w:rPr>
          <w:rFonts w:ascii="宋体" w:eastAsia="宋体" w:hint="eastAsia"/>
          <w:b/>
          <w:sz w:val="44"/>
          <w:szCs w:val="44"/>
        </w:rPr>
        <w:t>响应文件格式</w:t>
      </w:r>
      <w:bookmarkEnd w:id="106"/>
      <w:bookmarkEnd w:id="107"/>
    </w:p>
    <w:p>
      <w:pPr>
        <w:pStyle w:val="40"/>
        <w:widowControl w:val="0"/>
        <w:rPr>
          <w:rFonts w:ascii="黑体" w:eastAsia="黑体"/>
          <w:bCs/>
          <w:kern w:val="2"/>
          <w:sz w:val="24"/>
          <w:szCs w:val="24"/>
        </w:rPr>
      </w:pPr>
    </w:p>
    <w:p>
      <w:pPr>
        <w:pStyle w:val="40"/>
        <w:widowControl w:val="0"/>
        <w:rPr>
          <w:bCs/>
          <w:kern w:val="2"/>
          <w:sz w:val="24"/>
          <w:szCs w:val="24"/>
        </w:rPr>
      </w:pPr>
    </w:p>
    <w:p>
      <w:pPr>
        <w:pStyle w:val="40"/>
        <w:widowControl w:val="0"/>
        <w:rPr>
          <w:bCs/>
          <w:kern w:val="2"/>
          <w:sz w:val="24"/>
          <w:szCs w:val="24"/>
        </w:rPr>
      </w:pPr>
    </w:p>
    <w:p>
      <w:pPr>
        <w:jc w:val="center"/>
        <w:rPr>
          <w:rFonts w:ascii="宋体" w:cs="宋体"/>
          <w:sz w:val="48"/>
          <w:szCs w:val="48"/>
        </w:rPr>
      </w:pPr>
      <w:r>
        <w:rPr>
          <w:rFonts w:ascii="宋体" w:cs="宋体" w:hint="eastAsia"/>
          <w:sz w:val="48"/>
          <w:szCs w:val="48"/>
        </w:rPr>
        <w:t>重庆江北机场海关</w:t>
      </w:r>
      <w:r>
        <w:rPr>
          <w:rFonts w:ascii="宋体" w:cs="宋体"/>
          <w:sz w:val="48"/>
          <w:szCs w:val="48"/>
        </w:rPr>
        <w:t>手持式X荧光光谱仪</w:t>
      </w:r>
      <w:r>
        <w:rPr>
          <w:rFonts w:ascii="宋体" w:cs="宋体" w:hint="eastAsia"/>
          <w:sz w:val="48"/>
          <w:szCs w:val="48"/>
        </w:rPr>
        <w:t>项目响应文件</w:t>
      </w:r>
      <w:r>
        <w:rPr>
          <w:rFonts w:ascii="宋体" w:cs="宋体"/>
          <w:sz w:val="48"/>
          <w:szCs w:val="48"/>
        </w:rPr>
        <w:t xml:space="preserve"> </w:t>
      </w:r>
    </w:p>
    <w:p>
      <w:pPr>
        <w:jc w:val="center"/>
        <w:rPr>
          <w:rFonts w:ascii="宋体" w:cs="宋体"/>
          <w:sz w:val="30"/>
        </w:rPr>
      </w:pPr>
    </w:p>
    <w:p>
      <w:pPr>
        <w:jc w:val="center"/>
        <w:rPr>
          <w:rFonts w:ascii="宋体" w:cs="宋体"/>
          <w:b/>
          <w:sz w:val="30"/>
          <w:szCs w:val="30"/>
        </w:rPr>
      </w:pPr>
    </w:p>
    <w:p>
      <w:pPr>
        <w:rPr>
          <w:rFonts w:ascii="宋体" w:cs="宋体"/>
          <w:b/>
          <w:sz w:val="30"/>
          <w:szCs w:val="30"/>
        </w:rPr>
      </w:pPr>
    </w:p>
    <w:p>
      <w:pPr>
        <w:snapToGrid w:val="0"/>
        <w:spacing w:line="480" w:lineRule="auto"/>
        <w:ind w:firstLineChars="596" w:firstLine="1788"/>
        <w:rPr>
          <w:rFonts w:ascii="宋体" w:cs="宋体"/>
          <w:b/>
          <w:sz w:val="30"/>
          <w:szCs w:val="30"/>
        </w:rPr>
      </w:pPr>
      <w:r>
        <w:rPr>
          <w:rFonts w:ascii="宋体" w:cs="宋体" w:hint="eastAsia"/>
          <w:b/>
          <w:sz w:val="30"/>
          <w:szCs w:val="30"/>
        </w:rPr>
        <w:t>供应商：</w:t>
      </w:r>
      <w:r>
        <w:rPr>
          <w:rFonts w:ascii="宋体" w:cs="宋体"/>
          <w:b/>
          <w:sz w:val="30"/>
          <w:szCs w:val="30"/>
          <w:u w:val="single"/>
        </w:rPr>
        <w:t xml:space="preserve">                  </w:t>
        <w:tab/>
      </w:r>
      <w:r>
        <w:rPr>
          <w:rFonts w:ascii="宋体" w:cs="宋体" w:hint="eastAsia"/>
          <w:b/>
          <w:sz w:val="30"/>
          <w:szCs w:val="30"/>
          <w:u w:val="single"/>
        </w:rPr>
        <w:t>（盖章）</w:t>
      </w:r>
    </w:p>
    <w:p>
      <w:pPr>
        <w:snapToGrid w:val="0"/>
        <w:ind w:firstLineChars="596" w:firstLine="1788"/>
        <w:rPr>
          <w:rFonts w:ascii="宋体" w:cs="宋体"/>
          <w:b/>
          <w:sz w:val="30"/>
          <w:szCs w:val="30"/>
        </w:rPr>
      </w:pPr>
      <w:r>
        <w:rPr>
          <w:rFonts w:ascii="宋体" w:cs="宋体" w:hint="eastAsia"/>
          <w:b/>
          <w:sz w:val="30"/>
          <w:szCs w:val="30"/>
        </w:rPr>
        <w:t>法</w:t>
      </w:r>
      <w:r>
        <w:rPr>
          <w:rFonts w:ascii="宋体" w:cs="宋体"/>
          <w:b/>
          <w:sz w:val="30"/>
          <w:szCs w:val="30"/>
        </w:rPr>
        <w:t xml:space="preserve"> </w:t>
      </w:r>
      <w:r>
        <w:rPr>
          <w:rFonts w:ascii="宋体" w:cs="宋体" w:hint="eastAsia"/>
          <w:b/>
          <w:sz w:val="30"/>
          <w:szCs w:val="30"/>
        </w:rPr>
        <w:t>定</w:t>
      </w:r>
      <w:r>
        <w:rPr>
          <w:rFonts w:ascii="宋体" w:cs="宋体"/>
          <w:b/>
          <w:sz w:val="30"/>
          <w:szCs w:val="30"/>
        </w:rPr>
        <w:t xml:space="preserve"> </w:t>
      </w:r>
      <w:r>
        <w:rPr>
          <w:rFonts w:ascii="宋体" w:cs="宋体" w:hint="eastAsia"/>
          <w:b/>
          <w:sz w:val="30"/>
          <w:szCs w:val="30"/>
        </w:rPr>
        <w:t>代</w:t>
      </w:r>
      <w:r>
        <w:rPr>
          <w:rFonts w:ascii="宋体" w:cs="宋体"/>
          <w:b/>
          <w:sz w:val="30"/>
          <w:szCs w:val="30"/>
        </w:rPr>
        <w:t xml:space="preserve"> </w:t>
      </w:r>
      <w:r>
        <w:rPr>
          <w:rFonts w:ascii="宋体" w:cs="宋体" w:hint="eastAsia"/>
          <w:b/>
          <w:sz w:val="30"/>
          <w:szCs w:val="30"/>
        </w:rPr>
        <w:t>表</w:t>
      </w:r>
      <w:r>
        <w:rPr>
          <w:rFonts w:ascii="宋体" w:cs="宋体"/>
          <w:b/>
          <w:sz w:val="30"/>
          <w:szCs w:val="30"/>
        </w:rPr>
        <w:t xml:space="preserve"> </w:t>
      </w:r>
      <w:r>
        <w:rPr>
          <w:rFonts w:ascii="宋体" w:cs="宋体" w:hint="eastAsia"/>
          <w:b/>
          <w:sz w:val="30"/>
          <w:szCs w:val="30"/>
        </w:rPr>
        <w:t>人</w:t>
      </w:r>
    </w:p>
    <w:p>
      <w:pPr>
        <w:snapToGrid w:val="0"/>
        <w:ind w:firstLineChars="596" w:firstLine="1788"/>
        <w:rPr>
          <w:rFonts w:ascii="宋体" w:cs="宋体"/>
          <w:b/>
          <w:sz w:val="30"/>
          <w:szCs w:val="30"/>
        </w:rPr>
      </w:pPr>
      <w:r>
        <w:rPr>
          <w:rFonts w:ascii="宋体" w:cs="宋体" w:hint="eastAsia"/>
          <w:b/>
          <w:sz w:val="30"/>
          <w:szCs w:val="30"/>
        </w:rPr>
        <w:t>或其委托代理人：</w:t>
      </w:r>
      <w:r>
        <w:rPr>
          <w:rFonts w:ascii="宋体" w:cs="宋体"/>
          <w:b/>
          <w:sz w:val="30"/>
          <w:szCs w:val="30"/>
          <w:u w:val="single"/>
        </w:rPr>
        <w:t xml:space="preserve">             </w:t>
      </w:r>
      <w:r>
        <w:rPr>
          <w:rFonts w:ascii="宋体" w:cs="宋体" w:hint="eastAsia"/>
          <w:b/>
          <w:sz w:val="30"/>
          <w:szCs w:val="30"/>
          <w:u w:val="single"/>
        </w:rPr>
        <w:t>（签字）</w:t>
      </w:r>
    </w:p>
    <w:p>
      <w:pPr>
        <w:snapToGrid w:val="0"/>
        <w:spacing w:before="480" w:line="360" w:lineRule="auto"/>
        <w:ind w:firstLineChars="596" w:firstLine="1788"/>
        <w:rPr>
          <w:rFonts w:ascii="宋体" w:cs="宋体"/>
          <w:b/>
          <w:sz w:val="30"/>
          <w:szCs w:val="30"/>
        </w:rPr>
      </w:pPr>
      <w:r>
        <w:rPr>
          <w:rFonts w:ascii="宋体" w:cs="宋体" w:hint="eastAsia"/>
          <w:b/>
          <w:sz w:val="30"/>
          <w:szCs w:val="30"/>
        </w:rPr>
        <w:t>日</w:t>
      </w:r>
      <w:r>
        <w:rPr>
          <w:rFonts w:ascii="宋体" w:cs="宋体"/>
          <w:b/>
          <w:sz w:val="30"/>
          <w:szCs w:val="30"/>
        </w:rPr>
        <w:t xml:space="preserve">  </w:t>
      </w:r>
      <w:r>
        <w:rPr>
          <w:rFonts w:ascii="宋体" w:cs="宋体" w:hint="eastAsia"/>
          <w:b/>
          <w:sz w:val="30"/>
          <w:szCs w:val="30"/>
        </w:rPr>
        <w:t>期：</w:t>
      </w:r>
      <w:r>
        <w:rPr>
          <w:rFonts w:ascii="宋体" w:cs="宋体"/>
          <w:b/>
          <w:sz w:val="30"/>
          <w:szCs w:val="30"/>
          <w:u w:val="single"/>
        </w:rPr>
        <w:t xml:space="preserve">       </w:t>
      </w:r>
      <w:r>
        <w:rPr>
          <w:rFonts w:ascii="宋体" w:cs="宋体" w:hint="eastAsia"/>
          <w:b/>
          <w:sz w:val="30"/>
          <w:szCs w:val="30"/>
        </w:rPr>
        <w:t>年</w:t>
      </w:r>
      <w:r>
        <w:rPr>
          <w:rFonts w:ascii="宋体" w:cs="宋体"/>
          <w:b/>
          <w:sz w:val="30"/>
          <w:szCs w:val="30"/>
          <w:u w:val="single"/>
        </w:rPr>
        <w:t xml:space="preserve">     </w:t>
      </w:r>
      <w:r>
        <w:rPr>
          <w:rFonts w:ascii="宋体" w:cs="宋体"/>
          <w:b/>
          <w:sz w:val="30"/>
          <w:szCs w:val="30"/>
        </w:rPr>
        <w:t xml:space="preserve"> </w:t>
      </w:r>
      <w:r>
        <w:rPr>
          <w:rFonts w:ascii="宋体" w:cs="宋体" w:hint="eastAsia"/>
          <w:b/>
          <w:sz w:val="30"/>
          <w:szCs w:val="30"/>
        </w:rPr>
        <w:t>月</w:t>
      </w:r>
      <w:r>
        <w:rPr>
          <w:rFonts w:ascii="宋体" w:cs="宋体"/>
          <w:b/>
          <w:sz w:val="30"/>
          <w:szCs w:val="30"/>
          <w:u w:val="single"/>
        </w:rPr>
        <w:t xml:space="preserve">     </w:t>
      </w:r>
      <w:r>
        <w:rPr>
          <w:rFonts w:ascii="宋体" w:cs="宋体" w:hint="eastAsia"/>
          <w:b/>
          <w:sz w:val="30"/>
          <w:szCs w:val="30"/>
        </w:rPr>
        <w:t>日</w:t>
      </w: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p>
      <w:pPr>
        <w:rPr>
          <w:rFonts w:ascii="黑体" w:eastAsia="黑体" w:cs="宋体"/>
        </w:rPr>
      </w:pPr>
      <w:r>
        <w:rPr>
          <w:rFonts w:ascii="黑体" w:eastAsia="黑体" w:cs="宋体" w:hint="eastAsia"/>
        </w:rPr>
        <w:br w:type="page"/>
      </w:r>
    </w:p>
    <w:p>
      <w:pPr>
        <w:pStyle w:val="2"/>
        <w:spacing w:before="0" w:afterLines="50" w:after="120" w:line="240" w:lineRule="auto"/>
        <w:jc w:val="center"/>
        <w:rPr>
          <w:rFonts w:ascii="黑体" w:eastAsia="黑体" w:cs="宋体"/>
          <w:b w:val="0"/>
        </w:rPr>
      </w:pPr>
      <w:r>
        <w:rPr>
          <w:rFonts w:ascii="黑体" w:eastAsia="黑体" w:cs="宋体" w:hint="eastAsia"/>
          <w:b w:val="0"/>
        </w:rPr>
        <w:t>一、报价函</w:t>
      </w:r>
    </w:p>
    <w:p>
      <w:pPr>
        <w:spacing w:line="560" w:lineRule="exact"/>
        <w:rPr>
          <w:rFonts w:eastAsia="方正仿宋_GBK"/>
          <w:sz w:val="32"/>
          <w:szCs w:val="32"/>
        </w:rPr>
      </w:pPr>
    </w:p>
    <w:p>
      <w:pPr>
        <w:tabs>
          <w:tab w:val="left" w:pos="6300"/>
        </w:tabs>
        <w:snapToGrid w:val="0"/>
        <w:spacing w:line="560" w:lineRule="exact"/>
        <w:rPr>
          <w:rFonts w:ascii="宋体"/>
          <w:sz w:val="24"/>
        </w:rPr>
      </w:pPr>
      <w:r>
        <w:rPr>
          <w:rFonts w:ascii="宋体" w:hint="eastAsia"/>
          <w:sz w:val="24"/>
        </w:rPr>
        <w:t>致：中华人民共和国重庆江北机场海关</w:t>
      </w:r>
      <w:r>
        <w:rPr>
          <w:rFonts w:ascii="宋体"/>
          <w:sz w:val="24"/>
        </w:rPr>
        <w:t xml:space="preserve"> </w:t>
      </w:r>
      <w:r>
        <w:rPr>
          <w:rFonts w:ascii="宋体" w:hint="eastAsia"/>
          <w:sz w:val="24"/>
        </w:rPr>
        <w:t>：</w:t>
      </w:r>
    </w:p>
    <w:p>
      <w:pPr>
        <w:tabs>
          <w:tab w:val="left" w:pos="6300"/>
        </w:tabs>
        <w:snapToGrid w:val="0"/>
        <w:spacing w:line="560" w:lineRule="exact"/>
        <w:rPr>
          <w:rFonts w:ascii="宋体"/>
          <w:sz w:val="24"/>
        </w:rPr>
      </w:pPr>
      <w:r>
        <w:rPr>
          <w:rFonts w:ascii="宋体"/>
          <w:sz w:val="24"/>
        </w:rPr>
        <w:t xml:space="preserve">    </w:t>
      </w:r>
      <w:r>
        <w:rPr>
          <w:rFonts w:ascii="宋体" w:hint="eastAsia"/>
          <w:sz w:val="24"/>
        </w:rPr>
        <w:t>我方收到</w:t>
      </w:r>
      <w:r>
        <w:rPr>
          <w:rFonts w:ascii="宋体"/>
          <w:sz w:val="24"/>
        </w:rPr>
        <w:t xml:space="preserve">                                 </w:t>
      </w:r>
      <w:r>
        <w:rPr>
          <w:rFonts w:ascii="宋体" w:hint="eastAsia"/>
          <w:sz w:val="24"/>
        </w:rPr>
        <w:t>（采购项目名称）的采购文件，经详细研究，决定参加该项目的比选，就参加本次比选有关事项郑重声明如下：</w:t>
      </w:r>
    </w:p>
    <w:p>
      <w:pPr>
        <w:tabs>
          <w:tab w:val="left" w:pos="6300"/>
        </w:tabs>
        <w:snapToGrid w:val="0"/>
        <w:spacing w:line="560" w:lineRule="exact"/>
        <w:ind w:firstLine="480"/>
        <w:rPr>
          <w:rFonts w:ascii="宋体"/>
          <w:sz w:val="24"/>
        </w:rPr>
      </w:pPr>
      <w:r>
        <w:rPr>
          <w:rFonts w:ascii="宋体" w:hint="eastAsia"/>
          <w:sz w:val="24"/>
        </w:rPr>
        <w:t>一、我方完全理解并接受该项目采购文件所有要求，完全答应采购文件中规定的所有条件和评审办法。</w:t>
      </w:r>
    </w:p>
    <w:p>
      <w:pPr>
        <w:tabs>
          <w:tab w:val="left" w:pos="6300"/>
        </w:tabs>
        <w:snapToGrid w:val="0"/>
        <w:spacing w:line="560" w:lineRule="exact"/>
        <w:ind w:firstLine="480"/>
        <w:rPr>
          <w:rFonts w:ascii="宋体"/>
          <w:sz w:val="24"/>
        </w:rPr>
      </w:pPr>
      <w:r>
        <w:rPr>
          <w:rFonts w:ascii="宋体" w:hint="eastAsia"/>
          <w:sz w:val="24"/>
        </w:rPr>
        <w:t>二、我方提交的所有响应文件、资料都是准确和真实的，如有虚假隐瞒或违规行为，我方愿意承担一切法律责任相关惩罚。</w:t>
      </w:r>
    </w:p>
    <w:p>
      <w:pPr>
        <w:tabs>
          <w:tab w:val="left" w:pos="6300"/>
        </w:tabs>
        <w:autoSpaceDE w:val="0"/>
        <w:snapToGrid w:val="0"/>
        <w:spacing w:line="560" w:lineRule="exact"/>
        <w:ind w:firstLine="573"/>
        <w:rPr>
          <w:rFonts w:ascii="宋体"/>
          <w:sz w:val="24"/>
        </w:rPr>
      </w:pPr>
      <w:r>
        <w:rPr>
          <w:rFonts w:ascii="宋体" w:hint="eastAsia"/>
          <w:sz w:val="24"/>
        </w:rPr>
        <w:t>三、我方承诺按照采购文件要求，提供采购标的物的供应（或制造）及技术服务。</w:t>
      </w:r>
    </w:p>
    <w:p>
      <w:pPr>
        <w:tabs>
          <w:tab w:val="left" w:pos="6300"/>
        </w:tabs>
        <w:snapToGrid w:val="0"/>
        <w:spacing w:line="560" w:lineRule="exact"/>
        <w:ind w:firstLine="570"/>
        <w:rPr>
          <w:rFonts w:ascii="宋体"/>
          <w:sz w:val="24"/>
        </w:rPr>
      </w:pPr>
      <w:r>
        <w:rPr>
          <w:rFonts w:ascii="宋体" w:hint="eastAsia"/>
          <w:sz w:val="24"/>
        </w:rPr>
        <w:t>四、我方按采购文件要求提交的响应文件正副本各</w:t>
      </w:r>
      <w:r>
        <w:rPr>
          <w:rFonts w:ascii="宋体"/>
          <w:sz w:val="24"/>
        </w:rPr>
        <w:t>1</w:t>
      </w:r>
      <w:r>
        <w:rPr>
          <w:rFonts w:ascii="宋体" w:hint="eastAsia"/>
          <w:sz w:val="24"/>
        </w:rPr>
        <w:t>份。</w:t>
      </w:r>
    </w:p>
    <w:p>
      <w:pPr>
        <w:tabs>
          <w:tab w:val="left" w:pos="6300"/>
        </w:tabs>
        <w:snapToGrid w:val="0"/>
        <w:spacing w:line="560" w:lineRule="exact"/>
        <w:ind w:firstLine="570"/>
        <w:rPr>
          <w:rFonts w:ascii="宋体"/>
          <w:sz w:val="24"/>
        </w:rPr>
      </w:pPr>
      <w:r>
        <w:rPr>
          <w:rFonts w:ascii="宋体" w:hint="eastAsia"/>
          <w:sz w:val="24"/>
        </w:rPr>
        <w:t>五、我方承诺：本次报价的有效期为</w:t>
      </w:r>
      <w:r>
        <w:rPr>
          <w:rFonts w:ascii="宋体"/>
          <w:sz w:val="24"/>
        </w:rPr>
        <w:t>90</w:t>
      </w:r>
      <w:r>
        <w:rPr>
          <w:rFonts w:ascii="宋体" w:hint="eastAsia"/>
          <w:sz w:val="24"/>
        </w:rPr>
        <w:t>天，即在报价有效期和合同有效期内，该报价固定不变。</w:t>
      </w:r>
    </w:p>
    <w:p>
      <w:pPr>
        <w:tabs>
          <w:tab w:val="left" w:pos="6300"/>
        </w:tabs>
        <w:snapToGrid w:val="0"/>
        <w:spacing w:line="560" w:lineRule="exact"/>
        <w:ind w:firstLine="570"/>
        <w:rPr>
          <w:rFonts w:ascii="宋体"/>
          <w:sz w:val="24"/>
        </w:rPr>
      </w:pPr>
      <w:r>
        <w:rPr>
          <w:rFonts w:ascii="宋体" w:hint="eastAsia"/>
          <w:sz w:val="24"/>
        </w:rPr>
        <w:t>六、如果我方成为成交单位，我方将履行采购文件中规定的各项要求以及我方响应文件的各项承诺，按《合同法》及合同约定条款承担我方责任。本承诺函连同响应文件将成为合同不可分割的一部分，与合同具有同等的法律效力。</w:t>
      </w:r>
    </w:p>
    <w:p>
      <w:pPr>
        <w:tabs>
          <w:tab w:val="left" w:pos="6300"/>
        </w:tabs>
        <w:snapToGrid w:val="0"/>
        <w:spacing w:line="560" w:lineRule="exact"/>
        <w:ind w:firstLine="570"/>
        <w:rPr>
          <w:rFonts w:ascii="宋体"/>
          <w:sz w:val="24"/>
        </w:rPr>
      </w:pPr>
    </w:p>
    <w:p>
      <w:pPr>
        <w:tabs>
          <w:tab w:val="left" w:pos="6300"/>
        </w:tabs>
        <w:snapToGrid w:val="0"/>
        <w:spacing w:line="560" w:lineRule="exact"/>
        <w:ind w:firstLine="570"/>
        <w:rPr>
          <w:rFonts w:ascii="宋体"/>
          <w:sz w:val="24"/>
        </w:rPr>
      </w:pPr>
    </w:p>
    <w:p>
      <w:pPr>
        <w:tabs>
          <w:tab w:val="left" w:pos="6300"/>
        </w:tabs>
        <w:adjustRightInd w:val="0"/>
        <w:snapToGrid w:val="0"/>
        <w:spacing w:line="560" w:lineRule="exact"/>
        <w:ind w:firstLineChars="1850" w:firstLine="4440"/>
        <w:rPr>
          <w:rFonts w:ascii="宋体"/>
          <w:sz w:val="24"/>
        </w:rPr>
      </w:pPr>
      <w:r>
        <w:rPr>
          <w:rFonts w:ascii="宋体" w:hint="eastAsia"/>
          <w:sz w:val="24"/>
        </w:rPr>
        <w:t>供应商（公章）：</w:t>
      </w:r>
    </w:p>
    <w:p>
      <w:pPr>
        <w:tabs>
          <w:tab w:val="left" w:pos="6300"/>
        </w:tabs>
        <w:adjustRightInd w:val="0"/>
        <w:snapToGrid w:val="0"/>
        <w:spacing w:line="560" w:lineRule="exact"/>
        <w:ind w:firstLineChars="1850" w:firstLine="4440"/>
        <w:rPr>
          <w:rFonts w:ascii="宋体"/>
          <w:sz w:val="24"/>
        </w:rPr>
      </w:pPr>
      <w:r>
        <w:rPr>
          <w:rFonts w:ascii="宋体" w:hint="eastAsia"/>
          <w:sz w:val="24"/>
        </w:rPr>
        <w:t>法人或其授权委托人（签字）：</w:t>
      </w:r>
    </w:p>
    <w:p>
      <w:pPr>
        <w:tabs>
          <w:tab w:val="left" w:pos="6300"/>
        </w:tabs>
        <w:adjustRightInd w:val="0"/>
        <w:snapToGrid w:val="0"/>
        <w:spacing w:line="560" w:lineRule="exact"/>
        <w:ind w:firstLine="492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tabs>
          <w:tab w:val="left" w:pos="6300"/>
        </w:tabs>
        <w:adjustRightInd w:val="0"/>
        <w:snapToGrid w:val="0"/>
        <w:spacing w:line="560" w:lineRule="exact"/>
        <w:ind w:firstLine="4920"/>
        <w:rPr>
          <w:rFonts w:ascii="宋体"/>
          <w:sz w:val="24"/>
        </w:rPr>
      </w:pPr>
    </w:p>
    <w:p>
      <w:pPr>
        <w:tabs>
          <w:tab w:val="left" w:pos="6300"/>
        </w:tabs>
        <w:adjustRightInd w:val="0"/>
        <w:snapToGrid w:val="0"/>
        <w:spacing w:line="560" w:lineRule="exact"/>
        <w:ind w:firstLine="4920"/>
        <w:rPr>
          <w:rFonts w:ascii="宋体"/>
          <w:sz w:val="24"/>
        </w:rPr>
      </w:pPr>
    </w:p>
    <w:p>
      <w:pPr>
        <w:pStyle w:val="2"/>
        <w:spacing w:before="0" w:afterLines="50" w:after="120" w:line="240" w:lineRule="auto"/>
        <w:jc w:val="center"/>
        <w:rPr>
          <w:rFonts w:ascii="黑体" w:eastAsia="黑体" w:cs="宋体"/>
          <w:b w:val="0"/>
        </w:rPr>
      </w:pPr>
      <w:r>
        <w:rPr>
          <w:rFonts w:ascii="黑体" w:eastAsia="黑体" w:cs="宋体" w:hint="eastAsia"/>
          <w:b w:val="0"/>
        </w:rPr>
        <w:t>二、法定代表人证明书（格式）</w:t>
      </w:r>
    </w:p>
    <w:p>
      <w:pPr>
        <w:pStyle w:val="21"/>
        <w:adjustRightInd w:val="0"/>
        <w:snapToGrid w:val="0"/>
        <w:spacing w:line="360" w:lineRule="auto"/>
        <w:ind w:firstLineChars="200" w:firstLine="420"/>
      </w:pPr>
    </w:p>
    <w:p>
      <w:pPr>
        <w:spacing w:line="360" w:lineRule="auto"/>
        <w:rPr>
          <w:rFonts w:ascii="宋体"/>
          <w:bCs/>
          <w:sz w:val="24"/>
        </w:rPr>
      </w:pPr>
      <w:r>
        <w:rPr>
          <w:rFonts w:ascii="宋体" w:hint="eastAsia"/>
          <w:sz w:val="24"/>
        </w:rPr>
        <w:t>致：中华人民共和国重庆江北机场海关</w:t>
      </w:r>
    </w:p>
    <w:p>
      <w:pPr>
        <w:spacing w:line="360" w:lineRule="auto"/>
        <w:ind w:firstLineChars="200" w:firstLine="480"/>
        <w:rPr>
          <w:rFonts w:ascii="宋体"/>
          <w:sz w:val="24"/>
        </w:rPr>
      </w:pPr>
      <w:r>
        <w:rPr>
          <w:rFonts w:ascii="宋体" w:hint="eastAsia"/>
          <w:sz w:val="24"/>
        </w:rPr>
        <w:t>姓名：</w:t>
      </w:r>
      <w:r>
        <w:rPr>
          <w:rFonts w:ascii="宋体"/>
          <w:sz w:val="24"/>
          <w:u w:val="single"/>
        </w:rPr>
        <w:t xml:space="preserve">         </w:t>
      </w:r>
      <w:r>
        <w:rPr>
          <w:rFonts w:ascii="宋体" w:hint="eastAsia"/>
          <w:sz w:val="24"/>
        </w:rPr>
        <w:t>性别：</w:t>
      </w:r>
      <w:r>
        <w:rPr>
          <w:rFonts w:ascii="宋体"/>
          <w:sz w:val="24"/>
          <w:u w:val="single"/>
        </w:rPr>
        <w:t xml:space="preserve">    </w:t>
      </w:r>
      <w:r>
        <w:rPr>
          <w:rFonts w:ascii="宋体" w:hint="eastAsia"/>
          <w:sz w:val="24"/>
        </w:rPr>
        <w:t>年龄：</w:t>
      </w:r>
      <w:r>
        <w:rPr>
          <w:rFonts w:ascii="宋体"/>
          <w:sz w:val="24"/>
          <w:u w:val="single"/>
        </w:rPr>
        <w:t xml:space="preserve">    </w:t>
      </w:r>
      <w:r>
        <w:rPr>
          <w:rFonts w:ascii="宋体" w:hint="eastAsia"/>
          <w:sz w:val="24"/>
        </w:rPr>
        <w:t>职务：</w:t>
      </w:r>
      <w:r>
        <w:rPr>
          <w:rFonts w:ascii="宋体"/>
          <w:sz w:val="24"/>
          <w:u w:val="single"/>
        </w:rPr>
        <w:t xml:space="preserve">              </w:t>
      </w:r>
      <w:r>
        <w:rPr>
          <w:rFonts w:ascii="宋体" w:hint="eastAsia"/>
          <w:sz w:val="24"/>
        </w:rPr>
        <w:t>身份证号码：</w:t>
      </w:r>
      <w:r>
        <w:rPr>
          <w:rFonts w:ascii="宋体"/>
          <w:sz w:val="24"/>
          <w:u w:val="single"/>
        </w:rPr>
        <w:t xml:space="preserve">        </w:t>
      </w:r>
    </w:p>
    <w:p>
      <w:pPr>
        <w:spacing w:line="360" w:lineRule="auto"/>
        <w:rPr>
          <w:rFonts w:ascii="宋体"/>
          <w:sz w:val="24"/>
        </w:rPr>
      </w:pPr>
      <w:r>
        <w:rPr>
          <w:rFonts w:ascii="宋体" w:hint="eastAsia"/>
          <w:sz w:val="24"/>
        </w:rPr>
        <w:t>系</w:t>
      </w:r>
      <w:r>
        <w:rPr>
          <w:rFonts w:ascii="宋体"/>
          <w:sz w:val="24"/>
          <w:u w:val="single"/>
        </w:rPr>
        <w:t xml:space="preserve">        </w:t>
      </w:r>
      <w:r>
        <w:rPr>
          <w:rFonts w:ascii="宋体" w:hint="eastAsia"/>
          <w:sz w:val="24"/>
          <w:u w:val="single"/>
        </w:rPr>
        <w:t>（供应商名称）</w:t>
      </w:r>
      <w:r>
        <w:rPr>
          <w:rFonts w:ascii="宋体"/>
          <w:sz w:val="24"/>
          <w:u w:val="single"/>
        </w:rPr>
        <w:t xml:space="preserve">        </w:t>
      </w:r>
      <w:r>
        <w:rPr>
          <w:rFonts w:ascii="宋体" w:hint="eastAsia"/>
          <w:sz w:val="24"/>
        </w:rPr>
        <w:t>的法定代表人。为</w:t>
      </w:r>
      <w:r>
        <w:rPr>
          <w:rFonts w:ascii="宋体"/>
          <w:sz w:val="24"/>
          <w:u w:val="single"/>
        </w:rPr>
        <w:t xml:space="preserve">                            </w:t>
      </w:r>
      <w:r>
        <w:rPr>
          <w:rFonts w:ascii="宋体" w:hint="eastAsia"/>
          <w:sz w:val="24"/>
        </w:rPr>
        <w:t>项目签署响应文件、进行合同签署和处理与之有关的一切事务。</w:t>
      </w:r>
    </w:p>
    <w:p>
      <w:pPr>
        <w:spacing w:line="440" w:lineRule="exact"/>
        <w:ind w:firstLineChars="200" w:firstLine="480"/>
        <w:rPr>
          <w:rFonts w:ascii="宋体"/>
          <w:sz w:val="24"/>
        </w:rPr>
      </w:pPr>
      <w:r>
        <w:rPr>
          <w:rFonts w:ascii="宋体" w:hint="eastAsia"/>
          <w:sz w:val="24"/>
        </w:rPr>
        <w:t>特此证明。</w:t>
      </w:r>
    </w:p>
    <w:p>
      <w:pPr>
        <w:pStyle w:val="21"/>
        <w:adjustRightInd w:val="0"/>
        <w:snapToGrid w:val="0"/>
        <w:spacing w:line="360" w:lineRule="auto"/>
        <w:rPr>
          <w:sz w:val="24"/>
          <w:szCs w:val="24"/>
        </w:rPr>
      </w:pPr>
      <w:r>
        <w:rPr>
          <w:sz w:val="24"/>
          <w:szCs w:val="24"/>
        </w:rPr>
        <w:t xml:space="preserve">    </w:t>
      </w:r>
    </w:p>
    <w:p>
      <w:pPr>
        <w:pStyle w:val="21"/>
        <w:adjustRightInd w:val="0"/>
        <w:snapToGrid w:val="0"/>
        <w:spacing w:line="360" w:lineRule="auto"/>
        <w:ind w:firstLineChars="200" w:firstLine="480"/>
        <w:jc w:val="right"/>
        <w:rPr>
          <w:sz w:val="24"/>
          <w:szCs w:val="24"/>
        </w:rPr>
      </w:pPr>
    </w:p>
    <w:p>
      <w:pPr>
        <w:pStyle w:val="21"/>
        <w:adjustRightInd w:val="0"/>
        <w:snapToGrid w:val="0"/>
        <w:spacing w:line="360" w:lineRule="auto"/>
        <w:ind w:firstLineChars="200" w:firstLine="480"/>
        <w:jc w:val="right"/>
        <w:rPr>
          <w:sz w:val="24"/>
          <w:szCs w:val="24"/>
          <w:u w:val="single"/>
        </w:rPr>
      </w:pPr>
      <w:r>
        <w:rPr>
          <w:rFonts w:hint="eastAsia"/>
          <w:sz w:val="24"/>
          <w:szCs w:val="24"/>
        </w:rPr>
        <w:t>供应商：</w:t>
      </w:r>
      <w:r>
        <w:rPr>
          <w:sz w:val="24"/>
          <w:szCs w:val="24"/>
          <w:u w:val="single"/>
        </w:rPr>
        <w:t xml:space="preserve">                                 </w:t>
      </w:r>
      <w:r>
        <w:rPr>
          <w:rFonts w:hint="eastAsia"/>
          <w:sz w:val="24"/>
          <w:szCs w:val="24"/>
        </w:rPr>
        <w:t>（公章）</w:t>
      </w:r>
    </w:p>
    <w:p>
      <w:pPr>
        <w:pStyle w:val="21"/>
        <w:adjustRightInd w:val="0"/>
        <w:snapToGrid w:val="0"/>
        <w:spacing w:line="360" w:lineRule="auto"/>
        <w:ind w:firstLineChars="200" w:firstLine="480"/>
        <w:jc w:val="right"/>
        <w:rPr>
          <w:sz w:val="24"/>
          <w:szCs w:val="24"/>
        </w:rPr>
      </w:pPr>
    </w:p>
    <w:p>
      <w:pPr>
        <w:pStyle w:val="21"/>
        <w:adjustRightInd w:val="0"/>
        <w:snapToGrid w:val="0"/>
        <w:spacing w:line="360" w:lineRule="auto"/>
        <w:ind w:firstLineChars="200" w:firstLine="480"/>
        <w:jc w:val="right"/>
        <w:rPr>
          <w:sz w:val="24"/>
          <w:szCs w:val="24"/>
        </w:rPr>
      </w:pPr>
      <w:r>
        <w:rPr>
          <w:rFonts w:hint="eastAsia"/>
          <w:sz w:val="24"/>
          <w:szCs w:val="24"/>
        </w:rPr>
        <w:t>日期：</w:t>
      </w:r>
      <w:r>
        <w:rPr>
          <w:sz w:val="24"/>
          <w:szCs w:val="24"/>
          <w:u w:val="single"/>
        </w:rPr>
        <w:t xml:space="preserve">       </w:t>
      </w:r>
      <w:r>
        <w:rPr>
          <w:rFonts w:hint="eastAsia"/>
          <w:sz w:val="24"/>
          <w:szCs w:val="24"/>
        </w:rPr>
        <w:t>年</w:t>
      </w:r>
      <w:r>
        <w:rPr>
          <w:sz w:val="24"/>
          <w:szCs w:val="24"/>
          <w:u w:val="single"/>
        </w:rPr>
        <w:t xml:space="preserve">     </w:t>
      </w:r>
      <w:r>
        <w:rPr>
          <w:rFonts w:hint="eastAsia"/>
          <w:sz w:val="24"/>
          <w:szCs w:val="24"/>
        </w:rPr>
        <w:t>月</w:t>
      </w:r>
      <w:r>
        <w:rPr>
          <w:sz w:val="24"/>
          <w:szCs w:val="24"/>
          <w:u w:val="single"/>
        </w:rPr>
        <w:t xml:space="preserve">    </w:t>
      </w:r>
      <w:r>
        <w:rPr>
          <w:rFonts w:hint="eastAsia"/>
          <w:sz w:val="24"/>
          <w:szCs w:val="24"/>
        </w:rPr>
        <w:t>日</w:t>
      </w:r>
    </w:p>
    <w:p>
      <w:pPr>
        <w:adjustRightInd w:val="0"/>
        <w:snapToGrid w:val="0"/>
        <w:spacing w:line="360" w:lineRule="auto"/>
        <w:rPr>
          <w:rFonts w:ascii="宋体"/>
          <w:sz w:val="24"/>
        </w:rPr>
      </w:pPr>
    </w:p>
    <w:p>
      <w:pPr>
        <w:spacing w:line="360" w:lineRule="auto"/>
        <w:ind w:left="840" w:hangingChars="350" w:hanging="840"/>
        <w:rPr>
          <w:rFonts w:ascii="宋体"/>
          <w:sz w:val="24"/>
        </w:rPr>
      </w:pPr>
      <w:r>
        <w:rPr>
          <w:rFonts w:ascii="宋体" w:hint="eastAsia"/>
          <w:sz w:val="24"/>
        </w:rPr>
        <w:t>注：</w:t>
      </w:r>
      <w:r>
        <w:rPr>
          <w:rFonts w:ascii="宋体"/>
          <w:sz w:val="24"/>
        </w:rPr>
        <w:t>1</w:t>
      </w:r>
      <w:r>
        <w:rPr>
          <w:rFonts w:ascii="宋体" w:hint="eastAsia"/>
          <w:sz w:val="24"/>
        </w:rPr>
        <w:t>．此处所述</w:t>
      </w:r>
      <w:r>
        <w:rPr>
          <w:rFonts w:ascii="宋体"/>
          <w:sz w:val="24"/>
        </w:rPr>
        <w:t>“</w:t>
      </w:r>
      <w:r>
        <w:rPr>
          <w:rFonts w:ascii="宋体" w:hint="eastAsia"/>
          <w:sz w:val="24"/>
        </w:rPr>
        <w:t>法定代表人</w:t>
      </w:r>
      <w:r>
        <w:rPr>
          <w:rFonts w:ascii="宋体"/>
          <w:sz w:val="24"/>
        </w:rPr>
        <w:t>/</w:t>
      </w:r>
      <w:r>
        <w:rPr>
          <w:rFonts w:ascii="宋体" w:hint="eastAsia"/>
          <w:sz w:val="24"/>
        </w:rPr>
        <w:t>受委托执行合伙事务的合伙人</w:t>
      </w:r>
      <w:r>
        <w:rPr>
          <w:rFonts w:ascii="宋体"/>
          <w:sz w:val="24"/>
        </w:rPr>
        <w:t>”</w:t>
      </w:r>
      <w:r>
        <w:rPr>
          <w:rFonts w:ascii="宋体" w:hint="eastAsia"/>
          <w:sz w:val="24"/>
        </w:rPr>
        <w:t>须与供应商</w:t>
      </w:r>
      <w:r>
        <w:rPr>
          <w:rFonts w:ascii="宋体"/>
          <w:sz w:val="24"/>
        </w:rPr>
        <w:t>“</w:t>
      </w:r>
      <w:r>
        <w:rPr>
          <w:rFonts w:ascii="宋体" w:hint="eastAsia"/>
          <w:sz w:val="24"/>
        </w:rPr>
        <w:t>营业执照</w:t>
      </w:r>
      <w:r>
        <w:rPr>
          <w:rFonts w:ascii="宋体"/>
          <w:sz w:val="24"/>
        </w:rPr>
        <w:t>”</w:t>
      </w:r>
      <w:r>
        <w:rPr>
          <w:rFonts w:ascii="宋体" w:hint="eastAsia"/>
          <w:sz w:val="24"/>
        </w:rPr>
        <w:t>的内容一致。</w:t>
      </w:r>
    </w:p>
    <w:p>
      <w:pPr>
        <w:spacing w:line="360" w:lineRule="auto"/>
        <w:ind w:firstLine="420"/>
        <w:rPr>
          <w:rFonts w:ascii="宋体"/>
          <w:sz w:val="24"/>
        </w:rPr>
      </w:pPr>
      <w:r>
        <w:rPr>
          <w:rFonts w:ascii="宋体"/>
          <w:sz w:val="24"/>
        </w:rPr>
        <w:t>2</w:t>
      </w:r>
      <w:r>
        <w:rPr>
          <w:rFonts w:ascii="宋体" w:hint="eastAsia"/>
          <w:sz w:val="24"/>
        </w:rPr>
        <w:t>．法定代表人</w:t>
      </w:r>
      <w:r>
        <w:rPr>
          <w:rFonts w:ascii="宋体"/>
          <w:sz w:val="24"/>
        </w:rPr>
        <w:t>/</w:t>
      </w:r>
      <w:r>
        <w:rPr>
          <w:rFonts w:ascii="宋体" w:hint="eastAsia"/>
          <w:sz w:val="24"/>
        </w:rPr>
        <w:t>受委托执行合伙事务的合伙人作为本项目的投标代表时，须提供此附件。</w:t>
      </w:r>
    </w:p>
    <w:p>
      <w:pPr>
        <w:rPr>
          <w:rFonts w:ascii="宋体"/>
          <w:sz w:val="24"/>
        </w:rPr>
      </w:pPr>
    </w:p>
    <w:p>
      <w:pPr>
        <w:ind w:firstLineChars="200" w:firstLine="480"/>
        <w:rPr>
          <w:rFonts w:ascii="宋体"/>
          <w:sz w:val="24"/>
        </w:rPr>
      </w:pPr>
      <w:r>
        <w:rPr>
          <w:rFonts w:ascii="宋体" w:hint="eastAsia"/>
          <w:sz w:val="24"/>
        </w:rPr>
        <w:t>附：法定代表人</w:t>
      </w:r>
      <w:r>
        <w:rPr>
          <w:rFonts w:ascii="宋体" w:cs="仿宋_GB2312"/>
          <w:sz w:val="24"/>
          <w:lang w:val="zh-CN"/>
        </w:rPr>
        <w:t>/</w:t>
      </w:r>
      <w:r>
        <w:rPr>
          <w:rFonts w:ascii="宋体" w:hint="eastAsia"/>
          <w:sz w:val="24"/>
        </w:rPr>
        <w:t>受委托执行合伙事务的合伙人的身份证复印件：</w:t>
      </w:r>
    </w:p>
    <w:p>
      <w:pPr>
        <w:pStyle w:val="2"/>
        <w:spacing w:before="0" w:afterLines="50" w:after="120" w:line="240" w:lineRule="auto"/>
        <w:jc w:val="center"/>
        <w:rPr>
          <w:rFonts w:ascii="黑体" w:eastAsia="黑体" w:cs="宋体"/>
          <w:b w:val="0"/>
        </w:rPr>
      </w:pPr>
      <w:r>
        <mc:AlternateContent>
          <mc:Choice Requires="wps">
            <w:drawing>
              <wp:anchor distT="0" distB="0" distL="114297" distR="114297" simplePos="0" relativeHeight="11" behindDoc="0" locked="0" layoutInCell="1" hidden="0" allowOverlap="1">
                <wp:simplePos x="0" y="0"/>
                <wp:positionH relativeFrom="column">
                  <wp:posOffset>3061970</wp:posOffset>
                </wp:positionH>
                <wp:positionV relativeFrom="paragraph">
                  <wp:posOffset>530225</wp:posOffset>
                </wp:positionV>
                <wp:extent cx="3086100" cy="1962150"/>
                <wp:effectExtent l="0" t="0" r="0" b="0"/>
                <wp:wrapNone/>
                <wp:docPr id="1" name="圆角矩形 2 2 2 2"/>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16666"/>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圆角矩形 2 2 2 2 2" o:spid="_x0000_s2" fillcolor="#FFFFFF" stroked="t" adj="3600" style="position:absolute;margin-left:241.09999pt;margin-top:41.75pt;width:243.0pt;height:154.5pt;z-index:11;mso-position-horizontal:absolute;mso-position-vertical:absolute;mso-wrap-distance-left:8.99983pt;mso-wrap-distance-right:8.99983pt;">
                <v:stroke dashstyle="dashDot" color="#000000"/>
              </v:shape>
            </w:pict>
          </mc:Fallback>
        </mc:AlternateContent>
      </w:r>
      <w:r>
        <mc:AlternateContent>
          <mc:Choice Requires="wps">
            <w:drawing>
              <wp:anchor distT="0" distB="0" distL="114297" distR="114297" simplePos="0" relativeHeight="12" behindDoc="0" locked="0" layoutInCell="1" hidden="0" allowOverlap="1">
                <wp:simplePos x="0" y="0"/>
                <wp:positionH relativeFrom="column">
                  <wp:posOffset>-99695</wp:posOffset>
                </wp:positionH>
                <wp:positionV relativeFrom="paragraph">
                  <wp:posOffset>530225</wp:posOffset>
                </wp:positionV>
                <wp:extent cx="3086100" cy="1962150"/>
                <wp:effectExtent l="0" t="0" r="0" b="0"/>
                <wp:wrapNone/>
                <wp:docPr id="3" name="圆角矩形 4 4 4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16666"/>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圆角矩形 4 4 4 4 4" o:spid="_x0000_s4" fillcolor="#FFFFFF" stroked="t" adj="3600" style="position:absolute;margin-left:-7.8499994pt;margin-top:41.75pt;width:243.0pt;height:154.5pt;z-index:12;mso-position-horizontal:absolute;mso-position-vertical:absolute;mso-wrap-distance-left:8.99983pt;mso-wrap-distance-right:8.99983pt;">
                <v:stroke dashstyle="dashDot" color="#000000"/>
              </v:shape>
            </w:pict>
          </mc:Fallback>
        </mc:AlternateContent>
      </w:r>
      <w:r>
        <w:rPr>
          <w:rFonts w:ascii="宋体"/>
          <w:sz w:val="24"/>
        </w:rPr>
        <w:br w:type="page"/>
      </w:r>
      <w:r>
        <w:rPr>
          <w:rFonts w:ascii="黑体" w:eastAsia="黑体" w:cs="宋体" w:hint="eastAsia"/>
          <w:b w:val="0"/>
        </w:rPr>
        <w:t>三、法定代表人授权委托书</w:t>
      </w:r>
    </w:p>
    <w:p>
      <w:pPr>
        <w:snapToGrid w:val="0"/>
        <w:spacing w:line="560" w:lineRule="exact"/>
        <w:ind w:firstLineChars="200" w:firstLine="880"/>
        <w:jc w:val="center"/>
        <w:rPr>
          <w:rFonts w:ascii="方正小标宋_GBK" w:eastAsia="方正小标宋_GBK"/>
          <w:sz w:val="44"/>
          <w:szCs w:val="44"/>
        </w:rPr>
      </w:pPr>
    </w:p>
    <w:p>
      <w:pPr>
        <w:snapToGrid w:val="0"/>
        <w:spacing w:line="560" w:lineRule="exact"/>
        <w:rPr>
          <w:rFonts w:ascii="宋体"/>
          <w:sz w:val="24"/>
        </w:rPr>
      </w:pPr>
      <w:r>
        <w:rPr>
          <w:rFonts w:ascii="宋体" w:hint="eastAsia"/>
          <w:sz w:val="24"/>
        </w:rPr>
        <w:t>采购项目名称：</w:t>
      </w:r>
      <w:r>
        <w:rPr>
          <w:rFonts w:ascii="宋体"/>
          <w:sz w:val="24"/>
          <w:u w:val="single"/>
        </w:rPr>
        <w:t xml:space="preserve">                       </w:t>
      </w:r>
    </w:p>
    <w:p>
      <w:pPr>
        <w:snapToGrid w:val="0"/>
        <w:spacing w:line="560" w:lineRule="exact"/>
        <w:rPr>
          <w:rFonts w:ascii="宋体"/>
          <w:sz w:val="24"/>
        </w:rPr>
      </w:pPr>
      <w:r>
        <w:rPr>
          <w:rFonts w:ascii="宋体" w:hint="eastAsia"/>
          <w:sz w:val="24"/>
        </w:rPr>
        <w:t>致：</w:t>
      </w:r>
      <w:r>
        <w:rPr>
          <w:rFonts w:ascii="宋体"/>
          <w:sz w:val="24"/>
          <w:u w:val="single"/>
        </w:rPr>
        <w:t xml:space="preserve">                     </w:t>
      </w:r>
      <w:r>
        <w:rPr>
          <w:rFonts w:ascii="宋体" w:hint="eastAsia"/>
          <w:sz w:val="24"/>
        </w:rPr>
        <w:t>（采购人名称）：</w:t>
      </w:r>
    </w:p>
    <w:p>
      <w:pPr>
        <w:snapToGrid w:val="0"/>
        <w:spacing w:line="560" w:lineRule="exact"/>
        <w:ind w:firstLine="480"/>
        <w:rPr>
          <w:rFonts w:ascii="宋体"/>
          <w:sz w:val="24"/>
        </w:rPr>
      </w:pPr>
      <w:r>
        <w:rPr>
          <w:rFonts w:ascii="宋体"/>
          <w:sz w:val="24"/>
          <w:u w:val="single"/>
        </w:rPr>
        <w:t xml:space="preserve">             </w:t>
      </w:r>
      <w:r>
        <w:rPr>
          <w:rFonts w:ascii="宋体" w:hint="eastAsia"/>
          <w:sz w:val="24"/>
        </w:rPr>
        <w:t>（供应商法定代表人名称）是</w:t>
      </w:r>
      <w:r>
        <w:rPr>
          <w:rFonts w:ascii="宋体"/>
          <w:sz w:val="24"/>
          <w:u w:val="single"/>
        </w:rPr>
        <w:t xml:space="preserve">                    </w:t>
      </w:r>
      <w:r>
        <w:rPr>
          <w:rFonts w:ascii="宋体" w:hint="eastAsia"/>
          <w:sz w:val="24"/>
        </w:rPr>
        <w:t>（供应商名称）的法定代表人，特授权</w:t>
      </w:r>
      <w:r>
        <w:rPr>
          <w:rFonts w:ascii="宋体"/>
          <w:sz w:val="24"/>
          <w:u w:val="single"/>
        </w:rPr>
        <w:t xml:space="preserve">          </w:t>
      </w:r>
      <w:r>
        <w:rPr>
          <w:rFonts w:ascii="宋体" w:hint="eastAsia"/>
          <w:sz w:val="24"/>
        </w:rPr>
        <w:t>（被授权人姓名及身份证代码）代表我单位全权办理上述项目的比选、签约等具体工作，并签署全部有关文件、协议及合同。</w:t>
      </w:r>
    </w:p>
    <w:p>
      <w:pPr>
        <w:snapToGrid w:val="0"/>
        <w:spacing w:line="560" w:lineRule="exact"/>
        <w:ind w:firstLine="480"/>
        <w:rPr>
          <w:rFonts w:ascii="宋体"/>
          <w:sz w:val="24"/>
        </w:rPr>
      </w:pPr>
      <w:r>
        <w:rPr>
          <w:rFonts w:ascii="宋体" w:hint="eastAsia"/>
          <w:sz w:val="24"/>
        </w:rPr>
        <w:t>我单位对被授权人的签名负全部责任。</w:t>
      </w:r>
    </w:p>
    <w:p>
      <w:pPr>
        <w:snapToGrid w:val="0"/>
        <w:spacing w:line="560" w:lineRule="exact"/>
        <w:ind w:firstLine="480"/>
        <w:rPr>
          <w:rFonts w:ascii="宋体"/>
          <w:sz w:val="24"/>
        </w:rPr>
      </w:pPr>
      <w:r>
        <w:rPr>
          <w:rFonts w:ascii="宋体" w:hint="eastAsia"/>
          <w:sz w:val="24"/>
        </w:rPr>
        <w:t>在撤消授权的书面通知以前，本授权书一直有效。被授权人在授权书有效期内签署的所有文件不因授权的撤消而失效。</w:t>
      </w:r>
    </w:p>
    <w:p>
      <w:pPr>
        <w:snapToGrid w:val="0"/>
        <w:spacing w:line="560" w:lineRule="exact"/>
        <w:ind w:firstLine="480"/>
        <w:rPr>
          <w:rFonts w:ascii="宋体"/>
          <w:sz w:val="24"/>
        </w:rPr>
      </w:pPr>
    </w:p>
    <w:p>
      <w:pPr>
        <w:snapToGrid w:val="0"/>
        <w:spacing w:line="560" w:lineRule="exact"/>
        <w:ind w:firstLineChars="200" w:firstLine="480"/>
        <w:rPr>
          <w:rFonts w:ascii="宋体"/>
          <w:sz w:val="24"/>
        </w:rPr>
      </w:pPr>
      <w:r>
        <w:rPr>
          <w:rFonts w:ascii="宋体" w:hint="eastAsia"/>
          <w:sz w:val="24"/>
        </w:rPr>
        <w:t>供应商法定代表人签名：</w:t>
      </w:r>
      <w:r>
        <w:rPr>
          <w:rFonts w:ascii="宋体"/>
          <w:sz w:val="24"/>
        </w:rPr>
        <w:t xml:space="preserve">                       </w:t>
      </w:r>
      <w:r>
        <w:rPr>
          <w:rFonts w:ascii="宋体" w:hint="eastAsia"/>
          <w:sz w:val="24"/>
        </w:rPr>
        <w:t>被授权人签名：</w:t>
      </w:r>
      <w:r>
        <w:rPr>
          <w:rFonts w:ascii="宋体"/>
          <w:sz w:val="24"/>
        </w:rPr>
        <w:t xml:space="preserve">        </w:t>
      </w:r>
    </w:p>
    <w:p>
      <w:pPr>
        <w:snapToGrid w:val="0"/>
        <w:spacing w:line="560" w:lineRule="exact"/>
        <w:ind w:firstLineChars="200" w:firstLine="480"/>
        <w:rPr>
          <w:rFonts w:ascii="宋体"/>
          <w:sz w:val="24"/>
        </w:rPr>
      </w:pPr>
      <w:r>
        <w:rPr>
          <w:rFonts w:ascii="宋体"/>
          <w:sz w:val="24"/>
        </w:rPr>
        <w:t xml:space="preserve">                  </w:t>
      </w:r>
    </w:p>
    <w:p>
      <w:pPr>
        <w:snapToGrid w:val="0"/>
        <w:spacing w:line="560" w:lineRule="exact"/>
        <w:ind w:firstLine="480"/>
        <w:rPr>
          <w:rFonts w:ascii="宋体"/>
          <w:sz w:val="24"/>
        </w:rPr>
      </w:pPr>
      <w:r>
        <w:rPr>
          <w:rFonts w:ascii="宋体" w:hint="eastAsia"/>
          <w:sz w:val="24"/>
        </w:rPr>
        <w:t>（附：法定代表人和被授权人身份证复印件）</w:t>
      </w:r>
      <w:r>
        <w:rPr>
          <w:rFonts w:ascii="宋体"/>
          <w:sz w:val="24"/>
        </w:rPr>
        <w:t xml:space="preserve">   </w:t>
      </w:r>
    </w:p>
    <w:p>
      <w:pPr>
        <w:snapToGrid w:val="0"/>
        <w:spacing w:line="560" w:lineRule="exact"/>
        <w:ind w:firstLineChars="200" w:firstLine="640"/>
        <w:rPr>
          <w:rFonts w:eastAsia="方正仿宋_GBK"/>
          <w:sz w:val="32"/>
          <w:szCs w:val="32"/>
        </w:rPr>
      </w:pPr>
    </w:p>
    <w:p>
      <w:pPr>
        <w:snapToGrid w:val="0"/>
        <w:spacing w:line="560" w:lineRule="exact"/>
        <w:ind w:firstLineChars="200" w:firstLine="640"/>
        <w:rPr>
          <w:rFonts w:eastAsia="方正仿宋_GBK"/>
          <w:sz w:val="32"/>
          <w:szCs w:val="32"/>
        </w:rPr>
      </w:pPr>
    </w:p>
    <w:p>
      <w:pPr>
        <w:snapToGrid w:val="0"/>
        <w:spacing w:line="560" w:lineRule="exact"/>
        <w:ind w:firstLineChars="200" w:firstLine="640"/>
        <w:rPr>
          <w:rFonts w:eastAsia="方正仿宋_GBK"/>
          <w:sz w:val="32"/>
          <w:szCs w:val="32"/>
        </w:rPr>
      </w:pPr>
    </w:p>
    <w:p>
      <w:pPr>
        <w:snapToGrid w:val="0"/>
        <w:spacing w:line="560" w:lineRule="exact"/>
        <w:ind w:firstLineChars="200" w:firstLine="640"/>
        <w:rPr>
          <w:rFonts w:eastAsia="方正仿宋_GBK"/>
          <w:sz w:val="32"/>
          <w:szCs w:val="32"/>
        </w:rPr>
      </w:pPr>
    </w:p>
    <w:p>
      <w:pPr>
        <w:snapToGrid w:val="0"/>
        <w:spacing w:line="560" w:lineRule="exact"/>
        <w:ind w:firstLineChars="200" w:firstLine="640"/>
        <w:rPr>
          <w:rFonts w:eastAsia="方正仿宋_GBK"/>
          <w:sz w:val="32"/>
          <w:szCs w:val="32"/>
        </w:rPr>
      </w:pPr>
      <w:r>
        <w:rPr>
          <w:rFonts w:eastAsia="方正仿宋_GBK"/>
          <w:sz w:val="32"/>
          <w:szCs w:val="32"/>
        </w:rPr>
        <w:t xml:space="preserve">                                   </w:t>
      </w:r>
      <w:r>
        <w:rPr>
          <w:rFonts w:ascii="宋体" w:hint="eastAsia"/>
          <w:sz w:val="24"/>
        </w:rPr>
        <w:t>供应商（公章）：</w:t>
      </w:r>
      <w:r>
        <w:rPr>
          <w:rFonts w:ascii="宋体"/>
          <w:sz w:val="24"/>
        </w:rPr>
        <w:t xml:space="preserve">   </w:t>
      </w:r>
    </w:p>
    <w:p>
      <w:pPr>
        <w:snapToGrid w:val="0"/>
        <w:spacing w:line="560" w:lineRule="exact"/>
        <w:ind w:firstLineChars="3100" w:firstLine="744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widowControl/>
        <w:spacing w:line="360" w:lineRule="auto"/>
        <w:jc w:val="left"/>
        <w:rPr>
          <w:rFonts w:ascii="宋体" w:cs="宋体"/>
          <w:sz w:val="24"/>
        </w:rPr>
        <w:sectPr>
          <w:headerReference w:type="default" r:id="rId2"/>
          <w:footerReference w:type="default" r:id="rId3"/>
          <w:pgSz w:w="11907" w:h="16840"/>
          <w:pgMar w:top="1588" w:right="1361" w:bottom="1701" w:left="1361" w:header="851" w:footer="851" w:gutter="0"/>
          <w:docGrid w:linePitch="312" w:charSpace="0"/>
        </w:sectPr>
      </w:pPr>
    </w:p>
    <w:p>
      <w:pPr>
        <w:pStyle w:val="2"/>
        <w:autoSpaceDN w:val="0"/>
        <w:spacing w:before="0" w:afterLines="50" w:after="120" w:line="240" w:lineRule="auto"/>
        <w:jc w:val="center"/>
        <w:rPr>
          <w:rFonts w:ascii="黑体" w:eastAsia="黑体"/>
          <w:b w:val="0"/>
          <w:bCs w:val="0"/>
        </w:rPr>
      </w:pPr>
      <w:r>
        <w:rPr>
          <w:rFonts w:ascii="黑体" w:eastAsia="黑体" w:hint="eastAsia"/>
          <w:b w:val="0"/>
          <w:bCs w:val="0"/>
        </w:rPr>
        <w:t>四、基本资格条件承诺函</w:t>
      </w:r>
    </w:p>
    <w:p>
      <w:pPr>
        <w:tabs>
          <w:tab w:val="left" w:pos="6300"/>
        </w:tabs>
        <w:autoSpaceDN w:val="0"/>
        <w:snapToGrid w:val="0"/>
        <w:spacing w:line="530" w:lineRule="exact"/>
        <w:rPr>
          <w:rFonts w:ascii="仿宋" w:eastAsia="仿宋" w:cs="仿宋"/>
          <w:sz w:val="24"/>
          <w:highlight w:val="yellow"/>
        </w:rPr>
      </w:pPr>
    </w:p>
    <w:p>
      <w:pPr>
        <w:autoSpaceDN w:val="0"/>
        <w:snapToGrid w:val="0"/>
        <w:spacing w:line="560" w:lineRule="exact"/>
        <w:ind w:firstLine="480"/>
        <w:rPr>
          <w:rFonts w:ascii="宋体"/>
          <w:sz w:val="24"/>
        </w:rPr>
      </w:pPr>
      <w:r>
        <w:rPr>
          <w:rFonts w:ascii="宋体" w:hint="eastAsia"/>
          <w:sz w:val="24"/>
        </w:rPr>
        <w:t xml:space="preserve">致 </w:t>
      </w:r>
      <w:r>
        <w:rPr>
          <w:rFonts w:ascii="宋体" w:hint="eastAsia"/>
          <w:sz w:val="24"/>
          <w:u w:val="single"/>
        </w:rPr>
        <w:t xml:space="preserve">                  </w:t>
      </w:r>
      <w:r>
        <w:rPr>
          <w:rFonts w:ascii="宋体" w:hint="eastAsia"/>
          <w:sz w:val="24"/>
        </w:rPr>
        <w:t>（采购人名称）：</w:t>
      </w:r>
    </w:p>
    <w:p>
      <w:pPr>
        <w:autoSpaceDN w:val="0"/>
        <w:snapToGrid w:val="0"/>
        <w:spacing w:line="560" w:lineRule="exact"/>
        <w:ind w:firstLine="480"/>
        <w:rPr>
          <w:rFonts w:ascii="宋体"/>
          <w:sz w:val="24"/>
        </w:rPr>
      </w:pPr>
      <w:r>
        <w:rPr>
          <w:rFonts w:ascii="宋体" w:hint="eastAsia"/>
          <w:sz w:val="24"/>
        </w:rPr>
        <w:t xml:space="preserve">   </w:t>
      </w:r>
      <w:r>
        <w:rPr>
          <w:rFonts w:ascii="宋体" w:hint="eastAsia"/>
          <w:sz w:val="24"/>
          <w:u w:val="single"/>
        </w:rPr>
        <w:t xml:space="preserve">               </w:t>
      </w:r>
      <w:r>
        <w:rPr>
          <w:rFonts w:ascii="宋体" w:hint="eastAsia"/>
          <w:sz w:val="24"/>
        </w:rPr>
        <w:t>（供应商名称）郑重承诺：</w:t>
      </w:r>
    </w:p>
    <w:p>
      <w:pPr>
        <w:autoSpaceDN w:val="0"/>
        <w:snapToGrid w:val="0"/>
        <w:spacing w:line="560" w:lineRule="exact"/>
        <w:ind w:firstLine="480"/>
        <w:rPr>
          <w:rFonts w:ascii="宋体"/>
          <w:sz w:val="24"/>
        </w:rPr>
      </w:pPr>
      <w:r>
        <w:rPr>
          <w:rFonts w:ascii="宋体" w:hint="eastAsia"/>
          <w:sz w:val="24"/>
        </w:rPr>
        <w:t>1.我方具有良好的商业信誉和健全的财务会计制度，具有履行合同所必需的设备和专业技术能力，具有依法缴纳税收和社会保障金的良好记录，参加本项目采购活动前三年内无重大违法活动记录。</w:t>
      </w:r>
    </w:p>
    <w:p>
      <w:pPr>
        <w:autoSpaceDN w:val="0"/>
        <w:snapToGrid w:val="0"/>
        <w:spacing w:line="560" w:lineRule="exact"/>
        <w:ind w:firstLine="480"/>
        <w:rPr>
          <w:rFonts w:ascii="宋体"/>
          <w:sz w:val="24"/>
        </w:rPr>
      </w:pPr>
      <w:r>
        <w:rPr>
          <w:rFonts w:ascii="宋体" w:hint="eastAsia"/>
          <w:sz w:val="24"/>
        </w:rPr>
        <w:t>2.我方未列入在信用中国网站（www.creditchina.gov.cn）“失信被执行人”、“重大税收违法案件当事人名单”中，也未列入中国政府采购网（www.ccgp.gov.cn）“政府采购严重违法失信行为记录名单”中。</w:t>
      </w:r>
    </w:p>
    <w:p>
      <w:pPr>
        <w:autoSpaceDN w:val="0"/>
        <w:snapToGrid w:val="0"/>
        <w:spacing w:line="560" w:lineRule="exact"/>
        <w:ind w:firstLine="480"/>
        <w:rPr>
          <w:rFonts w:ascii="宋体"/>
          <w:sz w:val="24"/>
        </w:rPr>
      </w:pPr>
      <w:r>
        <w:rPr>
          <w:rFonts w:ascii="宋体" w:hint="eastAsia"/>
          <w:sz w:val="24"/>
        </w:rPr>
        <w:t>3.我方在采购项目评审（评标）环节结束后，随时接受采购人、采购代理机构的检查验证，配合提供相关证明材料，证明符合《中华人民共和国政府采购法》规定的供应商基本资格条件。</w:t>
      </w:r>
    </w:p>
    <w:p>
      <w:pPr>
        <w:autoSpaceDN w:val="0"/>
        <w:snapToGrid w:val="0"/>
        <w:spacing w:line="560" w:lineRule="exact"/>
        <w:ind w:firstLine="480"/>
        <w:rPr>
          <w:rFonts w:ascii="宋体"/>
          <w:sz w:val="24"/>
        </w:rPr>
      </w:pPr>
      <w:r>
        <w:rPr>
          <w:rFonts w:ascii="宋体" w:hint="eastAsia"/>
          <w:sz w:val="24"/>
        </w:rPr>
        <w:t>我方对以上承诺负全部法律责任。</w:t>
      </w:r>
    </w:p>
    <w:p>
      <w:pPr>
        <w:autoSpaceDN w:val="0"/>
        <w:snapToGrid w:val="0"/>
        <w:spacing w:line="560" w:lineRule="exact"/>
        <w:ind w:firstLine="480"/>
        <w:rPr>
          <w:rFonts w:ascii="宋体"/>
          <w:sz w:val="24"/>
        </w:rPr>
      </w:pPr>
      <w:r>
        <w:rPr>
          <w:rFonts w:ascii="宋体" w:hint="eastAsia"/>
          <w:sz w:val="24"/>
        </w:rPr>
        <w:t>特此承诺。</w:t>
      </w:r>
    </w:p>
    <w:p>
      <w:pPr>
        <w:autoSpaceDN w:val="0"/>
        <w:snapToGrid w:val="0"/>
        <w:spacing w:line="560" w:lineRule="exact"/>
        <w:ind w:firstLine="480"/>
        <w:rPr>
          <w:rFonts w:ascii="宋体"/>
          <w:sz w:val="24"/>
        </w:rPr>
      </w:pPr>
    </w:p>
    <w:p>
      <w:pPr>
        <w:autoSpaceDN w:val="0"/>
        <w:snapToGrid w:val="0"/>
        <w:spacing w:line="560" w:lineRule="exact"/>
        <w:ind w:firstLine="480"/>
        <w:rPr>
          <w:rFonts w:ascii="宋体"/>
          <w:sz w:val="24"/>
        </w:rPr>
      </w:pPr>
      <w:r>
        <w:rPr>
          <w:rFonts w:ascii="宋体" w:hint="eastAsia"/>
          <w:sz w:val="24"/>
        </w:rPr>
        <w:t xml:space="preserve">                                                  （供应商公章）</w:t>
      </w:r>
    </w:p>
    <w:p>
      <w:pPr>
        <w:autoSpaceDN w:val="0"/>
        <w:snapToGrid w:val="0"/>
        <w:spacing w:line="560" w:lineRule="exact"/>
        <w:ind w:right="960" w:firstLineChars="2700" w:firstLine="6480"/>
        <w:rPr>
          <w:rFonts w:ascii="宋体"/>
          <w:sz w:val="24"/>
        </w:rPr>
      </w:pPr>
      <w:r>
        <w:rPr>
          <w:rFonts w:ascii="宋体" w:hint="eastAsia"/>
          <w:sz w:val="24"/>
        </w:rPr>
        <w:t>年   月   日</w:t>
      </w:r>
    </w:p>
    <w:p>
      <w:pPr>
        <w:spacing w:line="360" w:lineRule="auto"/>
        <w:ind w:firstLineChars="200" w:firstLine="480"/>
        <w:jc w:val="right"/>
        <w:rPr>
          <w:rFonts w:ascii="宋体"/>
          <w:sz w:val="24"/>
        </w:rPr>
      </w:pPr>
    </w:p>
    <w:p>
      <w:pPr>
        <w:pStyle w:val="2"/>
        <w:spacing w:before="0" w:afterLines="50" w:after="120" w:line="240" w:lineRule="auto"/>
        <w:jc w:val="center"/>
        <w:rPr>
          <w:rFonts w:ascii="黑体" w:eastAsia="黑体" w:cs="宋体"/>
          <w:bCs w:val="0"/>
        </w:rPr>
      </w:pPr>
      <w:r>
        <w:rPr>
          <w:rFonts w:ascii="宋体"/>
          <w:sz w:val="24"/>
        </w:rPr>
        <w:br w:type="page"/>
      </w:r>
      <w:bookmarkStart w:id="108" w:name="_Toc76661236"/>
      <w:r>
        <w:rPr>
          <w:rFonts w:ascii="黑体" w:eastAsia="黑体" w:cs="宋体" w:hint="eastAsia"/>
          <w:b w:val="0"/>
        </w:rPr>
        <w:t>五、项目报价表</w:t>
      </w:r>
      <w:bookmarkEnd w:id="108"/>
    </w:p>
    <w:p>
      <w:pPr>
        <w:tabs>
          <w:tab w:val="left" w:pos="1800"/>
          <w:tab w:val="left" w:pos="5580"/>
        </w:tabs>
        <w:spacing w:line="360" w:lineRule="auto"/>
        <w:jc w:val="center"/>
        <w:rPr>
          <w:rFonts w:ascii="宋体"/>
          <w:b/>
          <w:sz w:val="28"/>
        </w:rPr>
      </w:pPr>
    </w:p>
    <w:p>
      <w:pPr>
        <w:snapToGrid w:val="0"/>
        <w:spacing w:line="560" w:lineRule="exact"/>
        <w:rPr>
          <w:rFonts w:ascii="宋体"/>
          <w:sz w:val="24"/>
        </w:rPr>
      </w:pPr>
      <w:r>
        <w:rPr>
          <w:rFonts w:ascii="宋体" w:hint="eastAsia"/>
          <w:sz w:val="24"/>
        </w:rPr>
        <w:t>采购项目名称：</w:t>
      </w:r>
      <w:r>
        <w:rPr>
          <w:rFonts w:ascii="宋体"/>
          <w:sz w:val="24"/>
          <w:u w:val="single"/>
        </w:rPr>
        <w:t xml:space="preserve">                       </w:t>
      </w:r>
    </w:p>
    <w:p>
      <w:pPr>
        <w:snapToGrid w:val="0"/>
        <w:spacing w:line="560" w:lineRule="exact"/>
        <w:rPr>
          <w:rFonts w:ascii="宋体"/>
          <w:sz w:val="24"/>
        </w:rPr>
      </w:pPr>
      <w:r>
        <w:rPr>
          <w:rFonts w:ascii="宋体" w:hint="eastAsia"/>
          <w:sz w:val="24"/>
        </w:rPr>
        <w:t>致：</w:t>
      </w:r>
      <w:r>
        <w:rPr>
          <w:rFonts w:ascii="宋体"/>
          <w:sz w:val="24"/>
          <w:u w:val="single"/>
        </w:rPr>
        <w:t xml:space="preserve">                     </w:t>
      </w:r>
      <w:r>
        <w:rPr>
          <w:rFonts w:ascii="宋体" w:hint="eastAsia"/>
          <w:sz w:val="24"/>
        </w:rPr>
        <w:t>（采购人名称）：</w:t>
      </w:r>
    </w:p>
    <w:p>
      <w:pPr>
        <w:tabs>
          <w:tab w:val="left" w:pos="1800"/>
          <w:tab w:val="left" w:pos="5580"/>
        </w:tabs>
        <w:spacing w:line="360" w:lineRule="auto"/>
        <w:jc w:val="left"/>
        <w:rPr>
          <w:rFonts w:ascii="宋体"/>
          <w:sz w:val="24"/>
        </w:rPr>
      </w:pPr>
    </w:p>
    <w:p>
      <w:pPr>
        <w:tabs>
          <w:tab w:val="left" w:pos="1800"/>
          <w:tab w:val="left" w:pos="5580"/>
        </w:tabs>
        <w:spacing w:line="360" w:lineRule="auto"/>
        <w:jc w:val="left"/>
      </w:pPr>
      <w:r>
        <w:rPr>
          <w:rFonts w:ascii="宋体" w:hint="eastAsia"/>
          <w:sz w:val="24"/>
        </w:rPr>
        <w:t>经我公司慎重研究采购文件，决定以下列报价参与</w:t>
      </w:r>
      <w:r>
        <w:rPr>
          <w:rFonts w:ascii="宋体"/>
          <w:sz w:val="24"/>
          <w:u w:val="single"/>
        </w:rPr>
        <w:t xml:space="preserve">                  </w:t>
      </w:r>
      <w:r>
        <w:rPr>
          <w:rFonts w:ascii="宋体" w:hint="eastAsia"/>
          <w:sz w:val="24"/>
        </w:rPr>
        <w:t>（项目名称）竞标：</w:t>
      </w:r>
      <w:r>
        <w:t xml:space="preserve"> </w:t>
        <w:tab/>
      </w:r>
    </w:p>
    <w:tbl>
      <w:tblPr>
        <w:jc w:val="left"/>
        <w:tblW w:w="9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51"/>
        <w:gridCol w:w="1559"/>
        <w:gridCol w:w="1276"/>
        <w:gridCol w:w="2410"/>
        <w:gridCol w:w="2167"/>
      </w:tblGrid>
      <w:tr>
        <w:trPr>
          <w:trHeight w:val="505"/>
        </w:trPr>
        <w:tc>
          <w:tcPr>
            <w:tcW w:w="1951" w:type="dxa"/>
          </w:tcPr>
          <w:p>
            <w:pPr>
              <w:snapToGrid w:val="0"/>
              <w:spacing w:line="500" w:lineRule="exact"/>
              <w:ind w:rightChars="-81" w:right="-170" w:firstLineChars="100" w:firstLine="210"/>
              <w:jc w:val="left"/>
              <w:rPr>
                <w:rFonts w:ascii="宋体"/>
                <w:b/>
              </w:rPr>
            </w:pPr>
            <w:r>
              <w:rPr>
                <w:rFonts w:ascii="宋体" w:cs="方正仿宋_GBK" w:hint="eastAsia"/>
                <w:b/>
                <w:szCs w:val="21"/>
              </w:rPr>
              <w:t>产品名称</w:t>
            </w:r>
          </w:p>
        </w:tc>
        <w:tc>
          <w:tcPr>
            <w:tcW w:w="1559" w:type="dxa"/>
          </w:tcPr>
          <w:p>
            <w:pPr>
              <w:spacing w:line="500" w:lineRule="exact"/>
              <w:ind w:rightChars="121" w:right="254" w:firstLineChars="100" w:firstLine="210"/>
              <w:jc w:val="center"/>
              <w:rPr>
                <w:rFonts w:ascii="宋体" w:cs="方正仿宋_GBK"/>
                <w:b/>
                <w:szCs w:val="21"/>
              </w:rPr>
            </w:pPr>
            <w:r>
              <w:rPr>
                <w:rFonts w:ascii="宋体" w:cs="方正仿宋_GBK" w:hint="eastAsia"/>
                <w:b/>
                <w:szCs w:val="21"/>
              </w:rPr>
              <w:t>数量（台）</w:t>
            </w:r>
          </w:p>
        </w:tc>
        <w:tc>
          <w:tcPr>
            <w:tcW w:w="1276" w:type="dxa"/>
            <w:vAlign w:val="center"/>
          </w:tcPr>
          <w:p>
            <w:pPr>
              <w:spacing w:line="500" w:lineRule="exact"/>
              <w:ind w:rightChars="121" w:right="254" w:firstLineChars="100" w:firstLine="210"/>
              <w:jc w:val="center"/>
              <w:rPr>
                <w:rFonts w:ascii="宋体" w:cs="方正仿宋_GBK"/>
                <w:b/>
                <w:szCs w:val="21"/>
              </w:rPr>
            </w:pPr>
            <w:r>
              <w:rPr>
                <w:rFonts w:ascii="宋体" w:cs="方正仿宋_GBK" w:hint="eastAsia"/>
                <w:b/>
                <w:szCs w:val="21"/>
              </w:rPr>
              <w:t>品牌</w:t>
            </w:r>
          </w:p>
        </w:tc>
        <w:tc>
          <w:tcPr>
            <w:tcW w:w="2410" w:type="dxa"/>
            <w:vAlign w:val="center"/>
          </w:tcPr>
          <w:p>
            <w:pPr>
              <w:spacing w:line="500" w:lineRule="exact"/>
              <w:ind w:rightChars="121" w:right="254" w:firstLineChars="100" w:firstLine="210"/>
              <w:jc w:val="center"/>
              <w:rPr>
                <w:rFonts w:ascii="宋体" w:cs="方正仿宋_GBK"/>
                <w:b/>
                <w:szCs w:val="21"/>
              </w:rPr>
            </w:pPr>
            <w:r>
              <w:rPr>
                <w:rFonts w:ascii="宋体" w:cs="方正仿宋_GBK" w:hint="eastAsia"/>
                <w:b/>
                <w:szCs w:val="21"/>
              </w:rPr>
              <w:t>规格型号</w:t>
            </w:r>
          </w:p>
        </w:tc>
        <w:tc>
          <w:tcPr>
            <w:tcW w:w="2167" w:type="dxa"/>
            <w:vAlign w:val="center"/>
          </w:tcPr>
          <w:p>
            <w:pPr>
              <w:spacing w:line="500" w:lineRule="exact"/>
              <w:ind w:rightChars="121" w:right="254"/>
              <w:jc w:val="center"/>
              <w:rPr>
                <w:rFonts w:ascii="宋体" w:cs="方正仿宋_GBK"/>
                <w:b/>
                <w:szCs w:val="21"/>
              </w:rPr>
            </w:pPr>
            <w:r>
              <w:rPr>
                <w:rFonts w:ascii="宋体" w:cs="方正仿宋_GBK" w:hint="eastAsia"/>
                <w:b/>
                <w:szCs w:val="21"/>
              </w:rPr>
              <w:t>响应报价（元）</w:t>
            </w:r>
          </w:p>
        </w:tc>
      </w:tr>
      <w:tr>
        <w:trPr>
          <w:trHeight w:val="1026"/>
        </w:trPr>
        <w:tc>
          <w:tcPr>
            <w:tcW w:w="1951" w:type="dxa"/>
            <w:vAlign w:val="center"/>
          </w:tcPr>
          <w:p>
            <w:pPr>
              <w:keepNext/>
              <w:widowControl w:val="0"/>
              <w:snapToGrid w:val="0"/>
              <w:spacing w:line="500" w:lineRule="exact"/>
              <w:ind w:rightChars="121" w:right="254"/>
              <w:jc w:val="center"/>
              <w:outlineLvl w:val="0"/>
              <w:rPr>
                <w:rFonts w:ascii="宋体" w:cs="方正仿宋_GBK"/>
                <w:szCs w:val="21"/>
              </w:rPr>
            </w:pPr>
            <w:r>
              <w:rPr>
                <w:rFonts w:ascii="宋体" w:cs="宋体" w:hint="eastAsia"/>
                <w:sz w:val="24"/>
              </w:rPr>
              <w:t>手持式X荧光光谱仪</w:t>
            </w:r>
          </w:p>
        </w:tc>
        <w:tc>
          <w:tcPr>
            <w:tcW w:w="1559" w:type="dxa"/>
          </w:tcPr>
          <w:p>
            <w:pPr>
              <w:keepNext/>
              <w:widowControl w:val="0"/>
              <w:snapToGrid w:val="0"/>
              <w:spacing w:line="500" w:lineRule="exact"/>
              <w:ind w:rightChars="121" w:right="254" w:firstLineChars="200" w:firstLine="420"/>
              <w:jc w:val="center"/>
              <w:outlineLvl w:val="0"/>
              <w:rPr>
                <w:rFonts w:ascii="宋体" w:cs="方正仿宋_GBK"/>
                <w:szCs w:val="21"/>
              </w:rPr>
            </w:pPr>
            <w:r>
              <w:rPr>
                <w:rFonts w:ascii="宋体" w:cs="方正仿宋_GBK" w:hint="eastAsia"/>
                <w:szCs w:val="21"/>
              </w:rPr>
              <w:t>1</w:t>
            </w:r>
          </w:p>
        </w:tc>
        <w:tc>
          <w:tcPr>
            <w:tcW w:w="1276" w:type="dxa"/>
            <w:vAlign w:val="center"/>
          </w:tcPr>
          <w:p>
            <w:pPr>
              <w:keepNext/>
              <w:widowControl w:val="0"/>
              <w:snapToGrid w:val="0"/>
              <w:spacing w:line="500" w:lineRule="exact"/>
              <w:ind w:rightChars="121" w:right="254" w:firstLineChars="200" w:firstLine="420"/>
              <w:jc w:val="center"/>
              <w:outlineLvl w:val="0"/>
              <w:rPr>
                <w:rFonts w:ascii="宋体" w:cs="方正仿宋_GBK"/>
                <w:szCs w:val="21"/>
              </w:rPr>
            </w:pPr>
          </w:p>
        </w:tc>
        <w:tc>
          <w:tcPr>
            <w:tcW w:w="2410" w:type="dxa"/>
            <w:vAlign w:val="center"/>
          </w:tcPr>
          <w:p>
            <w:pPr>
              <w:keepNext/>
              <w:widowControl w:val="0"/>
              <w:snapToGrid w:val="0"/>
              <w:spacing w:line="500" w:lineRule="exact"/>
              <w:ind w:rightChars="121" w:right="254" w:firstLineChars="200" w:firstLine="420"/>
              <w:jc w:val="center"/>
              <w:outlineLvl w:val="0"/>
              <w:rPr>
                <w:rFonts w:ascii="宋体" w:cs="方正仿宋_GBK"/>
                <w:szCs w:val="21"/>
              </w:rPr>
            </w:pPr>
          </w:p>
        </w:tc>
        <w:tc>
          <w:tcPr>
            <w:tcW w:w="2167" w:type="dxa"/>
            <w:vAlign w:val="center"/>
          </w:tcPr>
          <w:p>
            <w:pPr>
              <w:keepNext/>
              <w:widowControl w:val="0"/>
              <w:snapToGrid w:val="0"/>
              <w:spacing w:line="500" w:lineRule="exact"/>
              <w:ind w:rightChars="121" w:right="254" w:firstLineChars="200" w:firstLine="420"/>
              <w:jc w:val="center"/>
              <w:outlineLvl w:val="0"/>
              <w:rPr>
                <w:rFonts w:ascii="宋体" w:cs="方正仿宋_GBK"/>
                <w:szCs w:val="21"/>
              </w:rPr>
            </w:pPr>
          </w:p>
        </w:tc>
      </w:tr>
    </w:tbl>
    <w:p>
      <w:pPr>
        <w:tabs>
          <w:tab w:val="left" w:pos="678"/>
        </w:tabs>
        <w:spacing w:line="360" w:lineRule="auto"/>
        <w:jc w:val="left"/>
      </w:pPr>
    </w:p>
    <w:p>
      <w:pPr>
        <w:pStyle w:val="21"/>
        <w:tabs>
          <w:tab w:val="left" w:pos="5580"/>
        </w:tabs>
        <w:ind w:firstLine="480"/>
      </w:pPr>
      <w:r>
        <w:rPr>
          <w:rFonts w:hint="eastAsia"/>
        </w:rPr>
        <w:t>注：</w:t>
      </w:r>
      <w:r>
        <w:t xml:space="preserve"> </w:t>
      </w:r>
      <w:r>
        <w:rPr>
          <w:rFonts w:hint="eastAsia"/>
        </w:rPr>
        <w:t>以上报价是供应商为完成本项目、达到比选文件第三章《项目需求书》所有费用，已包括所有相关税费</w:t>
      </w:r>
      <w:r>
        <w:t>,</w:t>
      </w:r>
      <w:r>
        <w:rPr>
          <w:rFonts w:hint="eastAsia"/>
        </w:rPr>
        <w:t>按照需求分项报价并汇总。</w:t>
      </w:r>
    </w:p>
    <w:p>
      <w:pPr>
        <w:spacing w:line="360" w:lineRule="auto"/>
        <w:rPr>
          <w:rFonts w:ascii="宋体"/>
          <w:sz w:val="24"/>
        </w:rPr>
      </w:pPr>
    </w:p>
    <w:p>
      <w:pPr>
        <w:spacing w:line="360" w:lineRule="auto"/>
        <w:rPr>
          <w:rFonts w:ascii="宋体"/>
          <w:sz w:val="24"/>
        </w:rPr>
      </w:pPr>
      <w:r>
        <w:rPr>
          <w:rFonts w:ascii="宋体" w:cs="宋体" w:hint="eastAsia"/>
          <w:sz w:val="24"/>
        </w:rPr>
        <w:t>供应商代表签字：</w:t>
      </w:r>
      <w:r>
        <w:rPr>
          <w:rFonts w:ascii="宋体" w:cs="宋体"/>
          <w:sz w:val="24"/>
          <w:u w:val="single"/>
        </w:rPr>
        <w:t xml:space="preserve">                            </w:t>
      </w:r>
    </w:p>
    <w:p>
      <w:pPr>
        <w:spacing w:line="360" w:lineRule="auto"/>
        <w:rPr>
          <w:rFonts w:ascii="宋体"/>
          <w:sz w:val="24"/>
        </w:rPr>
      </w:pPr>
      <w:r>
        <w:rPr>
          <w:rFonts w:ascii="宋体" w:cs="宋体" w:hint="eastAsia"/>
          <w:sz w:val="24"/>
        </w:rPr>
        <w:t>供应商名称：</w:t>
      </w:r>
      <w:r>
        <w:rPr>
          <w:rFonts w:ascii="宋体" w:cs="宋体"/>
          <w:sz w:val="24"/>
          <w:u w:val="single"/>
        </w:rPr>
        <w:t xml:space="preserve">         </w:t>
      </w:r>
      <w:r>
        <w:rPr>
          <w:rFonts w:ascii="宋体" w:cs="宋体" w:hint="eastAsia"/>
          <w:sz w:val="24"/>
          <w:u w:val="single"/>
        </w:rPr>
        <w:t>（盖章）</w:t>
      </w:r>
      <w:r>
        <w:rPr>
          <w:rFonts w:ascii="宋体" w:cs="宋体"/>
          <w:sz w:val="24"/>
          <w:u w:val="single"/>
        </w:rPr>
        <w:t xml:space="preserve">           </w:t>
      </w:r>
    </w:p>
    <w:p>
      <w:pPr>
        <w:spacing w:line="360" w:lineRule="auto"/>
        <w:rPr>
          <w:rFonts w:ascii="宋体"/>
          <w:sz w:val="24"/>
        </w:rPr>
        <w:sectPr>
          <w:pgSz w:w="11907" w:h="16840"/>
          <w:pgMar w:top="1758" w:right="1361" w:bottom="1588" w:left="1361" w:header="851" w:footer="851" w:gutter="0"/>
          <w:docGrid w:linePitch="312" w:charSpace="0"/>
        </w:sectPr>
      </w:pPr>
      <w:r>
        <w:rPr>
          <w:rFonts w:ascii="宋体" w:cs="宋体" w:hint="eastAsia"/>
          <w:sz w:val="24"/>
        </w:rPr>
        <w:t>日</w:t>
      </w:r>
      <w:r>
        <w:rPr>
          <w:rFonts w:ascii="宋体" w:cs="宋体"/>
          <w:sz w:val="24"/>
        </w:rPr>
        <w:t xml:space="preserve">      </w:t>
      </w:r>
      <w:r>
        <w:rPr>
          <w:rFonts w:ascii="宋体" w:cs="宋体" w:hint="eastAsia"/>
          <w:sz w:val="24"/>
        </w:rPr>
        <w:t>期：</w:t>
      </w:r>
      <w:r>
        <w:rPr>
          <w:rFonts w:ascii="宋体" w:cs="宋体"/>
          <w:sz w:val="24"/>
        </w:rPr>
        <w:t>________________________________</w:t>
      </w:r>
    </w:p>
    <w:p>
      <w:pPr>
        <w:pStyle w:val="2"/>
        <w:spacing w:before="0" w:afterLines="50" w:after="156" w:line="240" w:lineRule="auto"/>
        <w:jc w:val="center"/>
        <w:rPr>
          <w:rFonts w:ascii="黑体" w:eastAsia="黑体" w:cs="宋体"/>
          <w:b w:val="0"/>
          <w:bCs w:val="0"/>
        </w:rPr>
      </w:pPr>
      <w:bookmarkStart w:id="109" w:name="_Toc232176287"/>
      <w:bookmarkStart w:id="110" w:name="_Toc76661239"/>
      <w:bookmarkStart w:id="111" w:name="_Toc249525256"/>
      <w:bookmarkStart w:id="112" w:name="_Toc275099834"/>
      <w:bookmarkStart w:id="113" w:name="_Toc256342157"/>
      <w:bookmarkStart w:id="114" w:name="_Toc230099808"/>
      <w:bookmarkStart w:id="115" w:name="_Toc127151561"/>
      <w:bookmarkStart w:id="116" w:name="_Toc182205327"/>
      <w:bookmarkStart w:id="117" w:name="_Toc150480797"/>
      <w:bookmarkStart w:id="118" w:name="_Toc150774764"/>
      <w:bookmarkStart w:id="119" w:name="_Toc181864897"/>
      <w:bookmarkStart w:id="120" w:name="_Toc230583557"/>
      <w:bookmarkStart w:id="121" w:name="_Toc249515375"/>
      <w:bookmarkStart w:id="122" w:name="_Toc142311061"/>
      <w:bookmarkStart w:id="123" w:name="_Toc232395227"/>
      <w:bookmarkStart w:id="124" w:name="_Toc12890652"/>
      <w:bookmarkStart w:id="125" w:name="_Toc230013643"/>
      <w:bookmarkStart w:id="126" w:name="_Toc181504473"/>
      <w:bookmarkStart w:id="127" w:name="_Toc307848334"/>
      <w:bookmarkStart w:id="128" w:name="_Toc182205184"/>
      <w:r>
        <w:rPr>
          <w:rFonts w:ascii="黑体" w:eastAsia="黑体" w:cs="宋体" w:hint="eastAsia"/>
          <w:b w:val="0"/>
        </w:rPr>
        <w:t>六、</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r>
        <w:rPr>
          <w:rFonts w:ascii="黑体" w:eastAsia="黑体" w:cs="宋体" w:hint="eastAsia"/>
          <w:b w:val="0"/>
        </w:rPr>
        <w:t>项目方案（格式自拟）</w:t>
      </w:r>
    </w:p>
    <w:p>
      <w:pPr>
        <w:pStyle w:val="41"/>
        <w:rPr>
          <w:rFonts w:ascii="宋体" w:cs="Arial"/>
          <w:sz w:val="24"/>
          <w:szCs w:val="24"/>
        </w:rPr>
      </w:pPr>
    </w:p>
    <w:p>
      <w:pPr>
        <w:pStyle w:val="41"/>
        <w:rPr>
          <w:rFonts w:ascii="宋体" w:cs="Arial"/>
          <w:sz w:val="24"/>
          <w:szCs w:val="24"/>
        </w:rPr>
      </w:pPr>
    </w:p>
    <w:p>
      <w:pPr>
        <w:widowControl/>
        <w:jc w:val="left"/>
        <w:rPr>
          <w:rFonts w:ascii="宋体" w:cs="Arial"/>
          <w:sz w:val="24"/>
        </w:rPr>
      </w:pPr>
    </w:p>
    <w:p>
      <w:pPr>
        <w:spacing w:line="360" w:lineRule="auto"/>
        <w:ind w:firstLineChars="200" w:firstLine="480"/>
        <w:jc w:val="left"/>
        <w:rPr>
          <w:rFonts w:ascii="宋体"/>
          <w:sz w:val="24"/>
        </w:rPr>
      </w:pPr>
      <w:r>
        <w:rPr>
          <w:rFonts w:ascii="宋体"/>
          <w:sz w:val="24"/>
        </w:rPr>
        <w:br w:type="page"/>
      </w:r>
      <w:r>
        <w:rPr>
          <w:rFonts w:ascii="宋体" w:hint="eastAsia"/>
          <w:sz w:val="24"/>
        </w:rPr>
        <w:t>中小企业声明函（非小微企业不填写）</w:t>
      </w:r>
    </w:p>
    <w:p>
      <w:pPr>
        <w:pStyle w:val="2"/>
        <w:spacing w:before="0" w:afterLines="50" w:after="156" w:line="240" w:lineRule="auto"/>
        <w:jc w:val="center"/>
        <w:rPr>
          <w:rFonts w:ascii="黑体" w:eastAsia="黑体" w:cs="宋体"/>
          <w:b w:val="0"/>
        </w:rPr>
      </w:pPr>
      <w:r>
        <w:rPr>
          <w:rFonts w:ascii="黑体" w:eastAsia="黑体" w:cs="宋体" w:hint="eastAsia"/>
          <w:b w:val="0"/>
        </w:rPr>
        <w:t>七、</w:t>
      </w:r>
      <w:r>
        <w:rPr>
          <w:rFonts w:ascii="黑体" w:eastAsia="黑体" w:cs="宋体"/>
          <w:b w:val="0"/>
        </w:rPr>
        <w:t xml:space="preserve">  </w:t>
      </w:r>
      <w:r>
        <w:rPr>
          <w:rFonts w:ascii="黑体" w:eastAsia="黑体" w:cs="宋体" w:hint="eastAsia"/>
          <w:b w:val="0"/>
        </w:rPr>
        <w:t>中小企业声明函（工程、服务）</w:t>
      </w:r>
    </w:p>
    <w:p>
      <w:pPr>
        <w:spacing w:line="360" w:lineRule="auto"/>
        <w:ind w:firstLineChars="200" w:firstLine="480"/>
        <w:rPr>
          <w:rFonts w:ascii="宋体"/>
          <w:sz w:val="24"/>
        </w:rPr>
      </w:pPr>
      <w:r>
        <w:rPr>
          <w:rFonts w:ascii="宋体"/>
          <w:sz w:val="24"/>
        </w:rPr>
        <w:t xml:space="preserve">    </w:t>
      </w:r>
      <w:r>
        <w:rPr>
          <w:rFonts w:ascii="宋体" w:hint="eastAsia"/>
          <w:sz w:val="24"/>
        </w:rPr>
        <w:t>本公司（联合体）郑重声明，根据《政府采购促进中小企业发展管理办法》（财库﹝</w:t>
      </w:r>
      <w:r>
        <w:rPr>
          <w:rFonts w:ascii="宋体"/>
          <w:sz w:val="24"/>
        </w:rPr>
        <w:t>2020</w:t>
      </w:r>
      <w:r>
        <w:rPr>
          <w:rFonts w:ascii="宋体" w:hint="eastAsia"/>
          <w:sz w:val="24"/>
        </w:rPr>
        <w:t>﹞</w:t>
      </w:r>
      <w:r>
        <w:rPr>
          <w:rFonts w:ascii="宋体"/>
          <w:sz w:val="24"/>
        </w:rPr>
        <w:t>46</w:t>
      </w:r>
      <w:r>
        <w:rPr>
          <w:rFonts w:ascii="宋体" w:hint="eastAsia"/>
          <w:sz w:val="24"/>
        </w:rPr>
        <w:t>号）的规定，本公司（联合体）参加</w:t>
      </w:r>
      <w:r>
        <w:rPr>
          <w:rFonts w:ascii="宋体"/>
          <w:sz w:val="24"/>
        </w:rPr>
        <w:t xml:space="preserve"> </w:t>
      </w:r>
      <w:r>
        <w:rPr>
          <w:rFonts w:ascii="宋体" w:hint="eastAsia"/>
          <w:sz w:val="24"/>
        </w:rPr>
        <w:t>（</w:t>
      </w:r>
      <w:r>
        <w:rPr>
          <w:rFonts w:ascii="宋体" w:hint="eastAsia"/>
          <w:sz w:val="24"/>
          <w:u w:val="single"/>
        </w:rPr>
        <w:t>单</w:t>
      </w:r>
      <w:r>
        <w:rPr>
          <w:rFonts w:ascii="宋体"/>
          <w:sz w:val="24"/>
          <w:u w:val="single"/>
        </w:rPr>
        <w:t xml:space="preserve">  </w:t>
      </w:r>
      <w:r>
        <w:rPr>
          <w:rFonts w:ascii="宋体" w:hint="eastAsia"/>
          <w:sz w:val="24"/>
          <w:u w:val="single"/>
        </w:rPr>
        <w:t>位</w:t>
      </w:r>
      <w:r>
        <w:rPr>
          <w:rFonts w:ascii="宋体"/>
          <w:sz w:val="24"/>
          <w:u w:val="single"/>
        </w:rPr>
        <w:t xml:space="preserve">   </w:t>
      </w:r>
      <w:r>
        <w:rPr>
          <w:rFonts w:ascii="宋体" w:hint="eastAsia"/>
          <w:sz w:val="24"/>
          <w:u w:val="single"/>
        </w:rPr>
        <w:t>名</w:t>
      </w:r>
      <w:r>
        <w:rPr>
          <w:rFonts w:ascii="宋体"/>
          <w:sz w:val="24"/>
          <w:u w:val="single"/>
        </w:rPr>
        <w:t xml:space="preserve">  </w:t>
      </w:r>
      <w:r>
        <w:rPr>
          <w:rFonts w:ascii="宋体" w:hint="eastAsia"/>
          <w:sz w:val="24"/>
          <w:u w:val="single"/>
        </w:rPr>
        <w:t>称）</w:t>
      </w:r>
      <w:r>
        <w:rPr>
          <w:rFonts w:ascii="宋体" w:hint="eastAsia"/>
          <w:sz w:val="24"/>
        </w:rPr>
        <w:t>的</w:t>
      </w:r>
      <w:r>
        <w:rPr>
          <w:rFonts w:ascii="宋体"/>
          <w:sz w:val="24"/>
        </w:rPr>
        <w:t xml:space="preserve"> </w:t>
      </w:r>
      <w:r>
        <w:rPr>
          <w:rFonts w:ascii="宋体" w:hint="eastAsia"/>
          <w:sz w:val="24"/>
        </w:rPr>
        <w:t>（</w:t>
      </w:r>
      <w:r>
        <w:rPr>
          <w:rFonts w:ascii="宋体" w:hint="eastAsia"/>
          <w:sz w:val="24"/>
          <w:u w:val="single"/>
        </w:rPr>
        <w:t>项目名称）</w:t>
      </w:r>
      <w:r>
        <w:rPr>
          <w:rFonts w:ascii="宋体"/>
          <w:sz w:val="24"/>
          <w:u w:val="single"/>
        </w:rPr>
        <w:t xml:space="preserve">  </w:t>
      </w:r>
      <w:r>
        <w:rPr>
          <w:rFonts w:ascii="宋体" w:hint="eastAsia"/>
          <w:sz w:val="24"/>
        </w:rPr>
        <w:t>采购活动，服务全部由符合政策要求的中小企业承接。相关企业（含联合体中的中小企业、签订分包意向协议的中小企业）的具体情况如下：</w:t>
      </w:r>
    </w:p>
    <w:p>
      <w:pPr>
        <w:spacing w:line="360" w:lineRule="auto"/>
        <w:ind w:firstLineChars="200" w:firstLine="480"/>
        <w:rPr>
          <w:rFonts w:ascii="宋体"/>
          <w:sz w:val="24"/>
        </w:rPr>
      </w:pPr>
      <w:r>
        <w:rPr>
          <w:rFonts w:ascii="宋体"/>
          <w:sz w:val="24"/>
        </w:rPr>
        <w:t xml:space="preserve">1. </w:t>
      </w:r>
      <w:r>
        <w:rPr>
          <w:rFonts w:ascii="宋体" w:hint="eastAsia"/>
          <w:sz w:val="24"/>
          <w:u w:val="single"/>
        </w:rPr>
        <w:t>（标的名称）</w:t>
      </w:r>
      <w:r>
        <w:rPr>
          <w:rFonts w:ascii="宋体"/>
          <w:sz w:val="24"/>
          <w:u w:val="single"/>
        </w:rPr>
        <w:t xml:space="preserve"> </w:t>
      </w:r>
      <w:r>
        <w:rPr>
          <w:rFonts w:ascii="宋体" w:hint="eastAsia"/>
          <w:sz w:val="24"/>
        </w:rPr>
        <w:t>，属于</w:t>
      </w:r>
      <w:r>
        <w:rPr>
          <w:rFonts w:ascii="宋体" w:hint="eastAsia"/>
          <w:sz w:val="24"/>
          <w:u w:val="single"/>
        </w:rPr>
        <w:t>（采购文件中明确的所属行业）</w:t>
      </w:r>
      <w:r>
        <w:rPr>
          <w:rFonts w:ascii="宋体"/>
          <w:sz w:val="24"/>
          <w:u w:val="single"/>
        </w:rPr>
        <w:t xml:space="preserve">  </w:t>
      </w:r>
      <w:r>
        <w:rPr>
          <w:rFonts w:ascii="宋体" w:hint="eastAsia"/>
          <w:sz w:val="24"/>
        </w:rPr>
        <w:t>，承建（承接）企业为</w:t>
      </w:r>
      <w:r>
        <w:rPr>
          <w:rFonts w:ascii="宋体"/>
          <w:sz w:val="24"/>
        </w:rPr>
        <w:t xml:space="preserve"> </w:t>
      </w:r>
      <w:r>
        <w:rPr>
          <w:rFonts w:ascii="宋体" w:hint="eastAsia"/>
          <w:sz w:val="24"/>
          <w:u w:val="single"/>
        </w:rPr>
        <w:t>（企业名称）</w:t>
      </w:r>
      <w:r>
        <w:rPr>
          <w:rFonts w:ascii="宋体" w:hint="eastAsia"/>
          <w:sz w:val="24"/>
        </w:rPr>
        <w:t>，从业人员</w:t>
      </w:r>
      <w:r>
        <w:rPr>
          <w:rFonts w:ascii="宋体"/>
          <w:sz w:val="24"/>
          <w:u w:val="single"/>
        </w:rPr>
        <w:t xml:space="preserve">    </w:t>
      </w:r>
      <w:r>
        <w:rPr>
          <w:rFonts w:ascii="宋体" w:hint="eastAsia"/>
          <w:sz w:val="24"/>
        </w:rPr>
        <w:t>人，营业收入为</w:t>
      </w:r>
      <w:r>
        <w:rPr>
          <w:rFonts w:ascii="宋体"/>
          <w:sz w:val="24"/>
          <w:u w:val="single"/>
        </w:rPr>
        <w:t xml:space="preserve">    </w:t>
      </w:r>
      <w:r>
        <w:rPr>
          <w:rFonts w:ascii="宋体" w:hint="eastAsia"/>
          <w:sz w:val="24"/>
        </w:rPr>
        <w:t>万元，资产总额为</w:t>
      </w:r>
      <w:r>
        <w:rPr>
          <w:rFonts w:ascii="宋体"/>
          <w:sz w:val="24"/>
          <w:u w:val="single"/>
        </w:rPr>
        <w:t xml:space="preserve">    </w:t>
      </w:r>
      <w:r>
        <w:rPr>
          <w:rFonts w:ascii="宋体" w:hint="eastAsia"/>
          <w:sz w:val="24"/>
        </w:rPr>
        <w:t>万元，属于</w:t>
      </w:r>
      <w:r>
        <w:rPr>
          <w:rFonts w:ascii="宋体"/>
          <w:sz w:val="24"/>
        </w:rPr>
        <w:t xml:space="preserve"> </w:t>
      </w:r>
      <w:r>
        <w:rPr>
          <w:rFonts w:ascii="宋体" w:hint="eastAsia"/>
          <w:sz w:val="24"/>
          <w:u w:val="single"/>
        </w:rPr>
        <w:t>（中型企业、小型企业、微型企业）</w:t>
      </w:r>
      <w:r>
        <w:rPr>
          <w:rFonts w:ascii="宋体" w:hint="eastAsia"/>
          <w:sz w:val="24"/>
        </w:rPr>
        <w:t>；</w:t>
      </w:r>
    </w:p>
    <w:p>
      <w:pPr>
        <w:spacing w:line="360" w:lineRule="auto"/>
        <w:ind w:firstLineChars="200" w:firstLine="480"/>
        <w:rPr>
          <w:rFonts w:ascii="宋体"/>
          <w:sz w:val="24"/>
        </w:rPr>
      </w:pPr>
      <w:r>
        <w:rPr>
          <w:rFonts w:ascii="宋体"/>
          <w:sz w:val="24"/>
        </w:rPr>
        <w:t>2.</w:t>
      </w:r>
      <w:r>
        <w:rPr>
          <w:rFonts w:ascii="宋体"/>
          <w:sz w:val="24"/>
          <w:u w:val="single"/>
        </w:rPr>
        <w:t xml:space="preserve"> </w:t>
      </w:r>
      <w:r>
        <w:rPr>
          <w:rFonts w:ascii="宋体" w:hint="eastAsia"/>
          <w:sz w:val="24"/>
          <w:u w:val="single"/>
        </w:rPr>
        <w:t>（标的名称）</w:t>
      </w:r>
      <w:r>
        <w:rPr>
          <w:rFonts w:ascii="宋体"/>
          <w:sz w:val="24"/>
          <w:u w:val="single"/>
        </w:rPr>
        <w:t xml:space="preserve"> </w:t>
      </w:r>
      <w:r>
        <w:rPr>
          <w:rFonts w:ascii="宋体" w:hint="eastAsia"/>
          <w:sz w:val="24"/>
        </w:rPr>
        <w:t>，属于</w:t>
      </w:r>
      <w:r>
        <w:rPr>
          <w:rFonts w:ascii="宋体" w:hint="eastAsia"/>
          <w:sz w:val="24"/>
          <w:u w:val="single"/>
        </w:rPr>
        <w:t>（采购文件中明确的所属行业）</w:t>
      </w:r>
      <w:r>
        <w:rPr>
          <w:rFonts w:ascii="宋体"/>
          <w:sz w:val="24"/>
          <w:u w:val="single"/>
        </w:rPr>
        <w:t xml:space="preserve">  </w:t>
      </w:r>
      <w:r>
        <w:rPr>
          <w:rFonts w:ascii="宋体" w:hint="eastAsia"/>
          <w:sz w:val="24"/>
        </w:rPr>
        <w:t>，承建（承接）企业为</w:t>
      </w:r>
      <w:r>
        <w:rPr>
          <w:rFonts w:ascii="宋体"/>
          <w:sz w:val="24"/>
        </w:rPr>
        <w:t xml:space="preserve"> </w:t>
      </w:r>
      <w:r>
        <w:rPr>
          <w:rFonts w:ascii="宋体" w:hint="eastAsia"/>
          <w:sz w:val="24"/>
          <w:u w:val="single"/>
        </w:rPr>
        <w:t>（企业名称）</w:t>
      </w:r>
      <w:r>
        <w:rPr>
          <w:rFonts w:ascii="宋体" w:hint="eastAsia"/>
          <w:sz w:val="24"/>
        </w:rPr>
        <w:t>，从业人员</w:t>
      </w:r>
      <w:r>
        <w:rPr>
          <w:rFonts w:ascii="宋体"/>
          <w:sz w:val="24"/>
          <w:u w:val="single"/>
        </w:rPr>
        <w:t xml:space="preserve">    </w:t>
      </w:r>
      <w:r>
        <w:rPr>
          <w:rFonts w:ascii="宋体" w:hint="eastAsia"/>
          <w:sz w:val="24"/>
        </w:rPr>
        <w:t>人，营业收入为</w:t>
      </w:r>
      <w:r>
        <w:rPr>
          <w:rFonts w:ascii="宋体"/>
          <w:sz w:val="24"/>
          <w:u w:val="single"/>
        </w:rPr>
        <w:t xml:space="preserve">    </w:t>
      </w:r>
      <w:r>
        <w:rPr>
          <w:rFonts w:ascii="宋体" w:hint="eastAsia"/>
          <w:sz w:val="24"/>
        </w:rPr>
        <w:t>万元，资产总额为</w:t>
      </w:r>
      <w:r>
        <w:rPr>
          <w:rFonts w:ascii="宋体"/>
          <w:sz w:val="24"/>
          <w:u w:val="single"/>
        </w:rPr>
        <w:t xml:space="preserve">    </w:t>
      </w:r>
      <w:r>
        <w:rPr>
          <w:rFonts w:ascii="宋体" w:hint="eastAsia"/>
          <w:sz w:val="24"/>
        </w:rPr>
        <w:t>万元，属于</w:t>
      </w:r>
      <w:r>
        <w:rPr>
          <w:rFonts w:ascii="宋体"/>
          <w:sz w:val="24"/>
        </w:rPr>
        <w:t xml:space="preserve"> </w:t>
      </w:r>
      <w:r>
        <w:rPr>
          <w:rFonts w:ascii="宋体" w:hint="eastAsia"/>
          <w:sz w:val="24"/>
          <w:u w:val="single"/>
        </w:rPr>
        <w:t>（中型企业、小型企业、微型企业）</w:t>
      </w:r>
      <w:r>
        <w:rPr>
          <w:rFonts w:ascii="宋体" w:hint="eastAsia"/>
          <w:sz w:val="24"/>
        </w:rPr>
        <w:t>；</w:t>
      </w:r>
    </w:p>
    <w:p>
      <w:pPr>
        <w:spacing w:line="360" w:lineRule="auto"/>
        <w:ind w:firstLineChars="200" w:firstLine="480"/>
        <w:rPr>
          <w:rFonts w:ascii="宋体"/>
          <w:sz w:val="24"/>
        </w:rPr>
      </w:pPr>
      <w:r>
        <w:rPr>
          <w:rFonts w:ascii="宋体"/>
          <w:sz w:val="24"/>
        </w:rPr>
        <w:t>……</w:t>
      </w:r>
    </w:p>
    <w:p>
      <w:pPr>
        <w:spacing w:line="360" w:lineRule="auto"/>
        <w:ind w:firstLineChars="200" w:firstLine="480"/>
        <w:rPr>
          <w:rFonts w:ascii="宋体"/>
          <w:sz w:val="24"/>
        </w:rPr>
      </w:pPr>
      <w:r>
        <w:rPr>
          <w:rFonts w:ascii="宋体" w:hint="eastAsia"/>
          <w:sz w:val="24"/>
        </w:rPr>
        <w:t>以上企业，不属于大企业的分支机构，不存在控股股东为大企业的情形，也不存在与大企业的负责人为同一人的情形。</w:t>
      </w:r>
    </w:p>
    <w:p>
      <w:pPr>
        <w:spacing w:line="360" w:lineRule="auto"/>
        <w:ind w:firstLineChars="200" w:firstLine="480"/>
        <w:rPr>
          <w:rFonts w:ascii="宋体"/>
          <w:sz w:val="24"/>
        </w:rPr>
      </w:pPr>
      <w:r>
        <w:rPr>
          <w:rFonts w:ascii="宋体" w:hint="eastAsia"/>
          <w:sz w:val="24"/>
        </w:rPr>
        <w:t>本企业对上述声明内容的真实性负责。如有虚假，将依法承担相应责任。</w:t>
      </w:r>
    </w:p>
    <w:p>
      <w:pPr>
        <w:spacing w:line="360" w:lineRule="auto"/>
        <w:ind w:firstLineChars="200" w:firstLine="480"/>
        <w:rPr>
          <w:rFonts w:ascii="宋体"/>
          <w:sz w:val="24"/>
        </w:rPr>
      </w:pPr>
      <w:r>
        <w:rPr>
          <w:rFonts w:ascii="宋体"/>
          <w:sz w:val="24"/>
        </w:rPr>
        <w:t xml:space="preserve">                                                </w:t>
      </w:r>
      <w:r>
        <w:rPr>
          <w:rFonts w:ascii="宋体" w:hint="eastAsia"/>
          <w:sz w:val="24"/>
        </w:rPr>
        <w:t>企业名称（盖章）：</w:t>
      </w:r>
    </w:p>
    <w:p>
      <w:pPr>
        <w:spacing w:line="360" w:lineRule="auto"/>
        <w:ind w:firstLineChars="200" w:firstLine="480"/>
        <w:rPr>
          <w:rFonts w:ascii="宋体"/>
          <w:sz w:val="24"/>
        </w:rPr>
      </w:pPr>
      <w:r>
        <w:rPr>
          <w:rFonts w:ascii="宋体"/>
          <w:sz w:val="24"/>
        </w:rPr>
        <w:t xml:space="preserve">                                                </w:t>
      </w:r>
      <w:r>
        <w:rPr>
          <w:rFonts w:ascii="宋体" w:hint="eastAsia"/>
          <w:sz w:val="24"/>
        </w:rPr>
        <w:t>日期：</w:t>
      </w:r>
    </w:p>
    <w:p>
      <w:pPr>
        <w:spacing w:line="360" w:lineRule="auto"/>
        <w:ind w:firstLineChars="200" w:firstLine="480"/>
        <w:rPr>
          <w:rFonts w:ascii="宋体"/>
          <w:sz w:val="24"/>
        </w:rPr>
      </w:pPr>
    </w:p>
    <w:p>
      <w:pPr>
        <w:spacing w:line="360" w:lineRule="auto"/>
        <w:rPr>
          <w:rFonts w:ascii="宋体"/>
          <w:b/>
          <w:sz w:val="28"/>
          <w:szCs w:val="28"/>
        </w:rPr>
      </w:pPr>
    </w:p>
    <w:p>
      <w:pPr>
        <w:spacing w:line="360" w:lineRule="auto"/>
        <w:ind w:firstLineChars="200" w:firstLine="420"/>
        <w:rPr>
          <w:rFonts w:ascii="宋体"/>
          <w:b/>
          <w:szCs w:val="28"/>
        </w:rPr>
      </w:pPr>
      <w:r>
        <w:rPr>
          <w:rFonts w:ascii="宋体" w:hint="eastAsia"/>
          <w:b/>
          <w:szCs w:val="28"/>
        </w:rPr>
        <w:t>备注：从业人员、营业收入、总额填报上一年度数据，无上一年度数据的新成立企业可不填报</w:t>
      </w:r>
    </w:p>
    <w:p>
      <w:pPr>
        <w:pStyle w:val="2"/>
        <w:spacing w:before="0" w:afterLines="50" w:after="156" w:line="240" w:lineRule="auto"/>
        <w:jc w:val="center"/>
        <w:rPr>
          <w:rFonts w:ascii="黑体" w:eastAsia="黑体" w:cs="宋体"/>
          <w:b w:val="0"/>
          <w:bCs w:val="0"/>
        </w:rPr>
      </w:pPr>
      <w:bookmarkStart w:id="129" w:name="_Toc76661243"/>
      <w:bookmarkStart w:id="130" w:name="_Toc12890654"/>
      <w:r>
        <w:rPr>
          <w:rFonts w:ascii="黑体" w:eastAsia="黑体" w:cs="宋体"/>
          <w:b w:val="0"/>
        </w:rPr>
        <w:br w:type="page"/>
      </w:r>
      <w:r>
        <w:rPr>
          <w:rFonts w:ascii="黑体" w:eastAsia="黑体" w:cs="宋体" w:hint="eastAsia"/>
          <w:b w:val="0"/>
        </w:rPr>
        <w:t>八、残疾人福利性单位声明函</w:t>
      </w:r>
      <w:bookmarkEnd w:id="129"/>
      <w:bookmarkEnd w:id="130"/>
    </w:p>
    <w:p>
      <w:pPr>
        <w:pStyle w:val="41"/>
        <w:widowControl/>
        <w:spacing w:before="100" w:beforeAutospacing="1" w:after="100" w:afterAutospacing="1" w:line="432" w:lineRule="auto"/>
        <w:ind w:firstLineChars="200" w:firstLine="600"/>
        <w:rPr>
          <w:rFonts w:ascii="宋体" w:cs="Arial"/>
          <w:sz w:val="24"/>
          <w:szCs w:val="24"/>
        </w:rPr>
      </w:pPr>
      <w:r>
        <w:rPr>
          <w:rFonts w:ascii="方正仿宋_GBK" w:eastAsia="方正仿宋_GBK"/>
          <w:sz w:val="30"/>
          <w:szCs w:val="30"/>
        </w:rPr>
        <w:t xml:space="preserve">   </w:t>
      </w:r>
      <w:r>
        <w:rPr>
          <w:rFonts w:ascii="宋体" w:cs="Arial"/>
          <w:sz w:val="24"/>
          <w:szCs w:val="24"/>
        </w:rPr>
        <w:t xml:space="preserve"> </w:t>
      </w:r>
      <w:r>
        <w:rPr>
          <w:rFonts w:ascii="宋体" w:cs="Arial" w:hint="eastAsia"/>
          <w:sz w:val="24"/>
          <w:szCs w:val="24"/>
        </w:rPr>
        <w:t>本单位郑重声明，根据《财政部、民政部中国残疾人联合会关于促进残疾人就业政府采购政策的通知》（财库【</w:t>
      </w:r>
      <w:r>
        <w:rPr>
          <w:rFonts w:ascii="宋体" w:cs="Arial"/>
          <w:sz w:val="24"/>
          <w:szCs w:val="24"/>
        </w:rPr>
        <w:t>2017</w:t>
      </w:r>
      <w:r>
        <w:rPr>
          <w:rFonts w:ascii="宋体" w:cs="Arial" w:hint="eastAsia"/>
          <w:sz w:val="24"/>
          <w:szCs w:val="24"/>
        </w:rPr>
        <w:t>】</w:t>
      </w:r>
      <w:r>
        <w:rPr>
          <w:rFonts w:ascii="宋体" w:cs="Arial"/>
          <w:sz w:val="24"/>
          <w:szCs w:val="24"/>
        </w:rPr>
        <w:t>141</w:t>
      </w:r>
      <w:r>
        <w:rPr>
          <w:rFonts w:ascii="宋体" w:cs="Arial" w:hint="eastAsia"/>
          <w:sz w:val="24"/>
          <w:szCs w:val="24"/>
        </w:rPr>
        <w:t>号）的规定，本单位为符合条件的残疾人福利性单位，且本单位参加</w:t>
      </w:r>
      <w:r>
        <w:rPr>
          <w:rFonts w:ascii="宋体" w:cs="Arial"/>
          <w:sz w:val="24"/>
          <w:szCs w:val="24"/>
          <w:u w:val="single"/>
        </w:rPr>
        <w:t xml:space="preserve">      </w:t>
      </w:r>
      <w:r>
        <w:rPr>
          <w:rFonts w:ascii="宋体" w:cs="Arial" w:hint="eastAsia"/>
          <w:sz w:val="24"/>
          <w:szCs w:val="24"/>
        </w:rPr>
        <w:t>单位的</w:t>
      </w:r>
      <w:r>
        <w:rPr>
          <w:rFonts w:ascii="宋体" w:cs="Arial"/>
          <w:sz w:val="24"/>
          <w:szCs w:val="24"/>
          <w:u w:val="single"/>
        </w:rPr>
        <w:t xml:space="preserve">           </w:t>
      </w:r>
      <w:r>
        <w:rPr>
          <w:rFonts w:ascii="宋体" w:cs="Arial" w:hint="eastAsia"/>
          <w:sz w:val="24"/>
          <w:szCs w:val="24"/>
        </w:rPr>
        <w:t>项目采购活动提供本单位制造的货物（由本单位承担工程</w:t>
      </w:r>
      <w:r>
        <w:rPr>
          <w:rFonts w:ascii="宋体" w:cs="Arial"/>
          <w:sz w:val="24"/>
          <w:szCs w:val="24"/>
        </w:rPr>
        <w:t>/</w:t>
      </w:r>
      <w:r>
        <w:rPr>
          <w:rFonts w:ascii="宋体" w:cs="Arial" w:hint="eastAsia"/>
          <w:sz w:val="24"/>
          <w:szCs w:val="24"/>
        </w:rPr>
        <w:t>提供服务），或者提供其他残疾人福利性单位制造的货物（不包括使用非残疾人福利性单位注册商标的货物）。</w:t>
      </w:r>
    </w:p>
    <w:p>
      <w:pPr>
        <w:pStyle w:val="41"/>
        <w:widowControl/>
        <w:spacing w:before="100" w:beforeAutospacing="1" w:after="100" w:afterAutospacing="1" w:line="432" w:lineRule="auto"/>
        <w:ind w:firstLineChars="200" w:firstLine="480"/>
        <w:rPr>
          <w:rFonts w:ascii="宋体" w:cs="Arial"/>
          <w:sz w:val="24"/>
          <w:szCs w:val="24"/>
        </w:rPr>
      </w:pPr>
      <w:r>
        <w:rPr>
          <w:rFonts w:ascii="宋体" w:cs="Arial" w:hint="eastAsia"/>
          <w:sz w:val="24"/>
          <w:szCs w:val="24"/>
        </w:rPr>
        <w:t>本单位对上述声明的真实性负责，如有虚假，将依法承担相应责任。</w:t>
      </w:r>
    </w:p>
    <w:p>
      <w:pPr>
        <w:pStyle w:val="41"/>
        <w:widowControl/>
        <w:spacing w:before="100" w:beforeAutospacing="1" w:after="100" w:afterAutospacing="1" w:line="432" w:lineRule="auto"/>
        <w:ind w:firstLineChars="200" w:firstLine="480"/>
        <w:rPr>
          <w:rFonts w:ascii="宋体" w:cs="Arial"/>
          <w:sz w:val="24"/>
          <w:szCs w:val="24"/>
        </w:rPr>
      </w:pPr>
    </w:p>
    <w:p>
      <w:pPr>
        <w:pStyle w:val="41"/>
        <w:widowControl/>
        <w:spacing w:before="100" w:beforeAutospacing="1" w:after="100" w:afterAutospacing="1" w:line="432" w:lineRule="auto"/>
        <w:ind w:firstLineChars="200" w:firstLine="480"/>
        <w:rPr>
          <w:rFonts w:ascii="宋体" w:cs="Arial"/>
          <w:sz w:val="24"/>
          <w:szCs w:val="24"/>
        </w:rPr>
      </w:pPr>
    </w:p>
    <w:p>
      <w:pPr>
        <w:pStyle w:val="41"/>
        <w:widowControl/>
        <w:spacing w:before="100" w:beforeAutospacing="1" w:after="100" w:afterAutospacing="1" w:line="432" w:lineRule="auto"/>
        <w:ind w:firstLineChars="200" w:firstLine="480"/>
        <w:rPr>
          <w:rFonts w:ascii="宋体" w:cs="Arial"/>
          <w:sz w:val="24"/>
          <w:szCs w:val="24"/>
        </w:rPr>
      </w:pPr>
      <w:r>
        <w:rPr>
          <w:rFonts w:ascii="宋体" w:cs="Arial" w:hint="eastAsia"/>
          <w:sz w:val="24"/>
          <w:szCs w:val="24"/>
        </w:rPr>
        <w:t>供应商名称（盖章）：</w:t>
      </w:r>
    </w:p>
    <w:p>
      <w:pPr>
        <w:pStyle w:val="41"/>
        <w:widowControl/>
        <w:spacing w:before="100" w:beforeAutospacing="1" w:after="100" w:afterAutospacing="1" w:line="432" w:lineRule="auto"/>
        <w:ind w:firstLineChars="200" w:firstLine="480"/>
        <w:rPr>
          <w:rFonts w:ascii="宋体" w:cs="Arial"/>
          <w:sz w:val="24"/>
          <w:szCs w:val="24"/>
        </w:rPr>
      </w:pPr>
      <w:r>
        <w:rPr>
          <w:rFonts w:ascii="宋体" w:cs="Arial" w:hint="eastAsia"/>
          <w:sz w:val="24"/>
          <w:szCs w:val="24"/>
        </w:rPr>
        <w:t>供应商代表签字：</w:t>
      </w:r>
    </w:p>
    <w:p>
      <w:pPr>
        <w:pStyle w:val="41"/>
        <w:widowControl/>
        <w:spacing w:before="100" w:beforeAutospacing="1" w:after="100" w:afterAutospacing="1" w:line="432" w:lineRule="auto"/>
        <w:ind w:firstLineChars="200" w:firstLine="480"/>
        <w:rPr>
          <w:rFonts w:ascii="宋体" w:cs="Arial"/>
          <w:sz w:val="24"/>
          <w:szCs w:val="24"/>
        </w:rPr>
      </w:pPr>
      <w:r>
        <w:rPr>
          <w:rFonts w:ascii="宋体" w:cs="Arial" w:hint="eastAsia"/>
          <w:sz w:val="24"/>
          <w:szCs w:val="24"/>
        </w:rPr>
        <w:t>日期：</w:t>
      </w:r>
    </w:p>
    <w:p>
      <w:pPr>
        <w:pStyle w:val="41"/>
        <w:spacing w:line="360" w:lineRule="auto"/>
        <w:rPr>
          <w:rFonts w:ascii="宋体"/>
          <w:sz w:val="24"/>
        </w:rPr>
      </w:pPr>
    </w:p>
    <w:p>
      <w:pPr>
        <w:pStyle w:val="41"/>
        <w:spacing w:line="360" w:lineRule="auto"/>
        <w:rPr>
          <w:rFonts w:ascii="宋体"/>
          <w:sz w:val="24"/>
        </w:rPr>
      </w:pPr>
    </w:p>
    <w:p>
      <w:pPr>
        <w:pStyle w:val="41"/>
        <w:spacing w:line="360" w:lineRule="auto"/>
        <w:rPr>
          <w:rFonts w:ascii="宋体"/>
          <w:sz w:val="24"/>
        </w:rPr>
      </w:pPr>
    </w:p>
    <w:p>
      <w:pPr>
        <w:pStyle w:val="41"/>
        <w:spacing w:line="360" w:lineRule="auto"/>
        <w:rPr>
          <w:rFonts w:ascii="宋体"/>
          <w:sz w:val="24"/>
        </w:rPr>
      </w:pPr>
    </w:p>
    <w:p>
      <w:pPr>
        <w:pStyle w:val="41"/>
        <w:spacing w:line="360" w:lineRule="auto"/>
        <w:rPr>
          <w:rFonts w:ascii="宋体"/>
          <w:sz w:val="24"/>
        </w:rPr>
      </w:pPr>
    </w:p>
    <w:p>
      <w:pPr>
        <w:pStyle w:val="41"/>
        <w:spacing w:line="360" w:lineRule="auto"/>
        <w:rPr>
          <w:rFonts w:ascii="宋体"/>
          <w:sz w:val="24"/>
        </w:rPr>
      </w:pPr>
    </w:p>
    <w:p>
      <w:pPr>
        <w:pStyle w:val="41"/>
        <w:spacing w:line="360" w:lineRule="auto"/>
        <w:rPr>
          <w:rFonts w:ascii="宋体"/>
          <w:sz w:val="24"/>
          <w:szCs w:val="24"/>
        </w:rPr>
      </w:pPr>
    </w:p>
    <w:p>
      <w:pPr>
        <w:pStyle w:val="41"/>
        <w:spacing w:line="360" w:lineRule="auto"/>
        <w:rPr>
          <w:rFonts w:ascii="宋体"/>
          <w:sz w:val="24"/>
          <w:szCs w:val="24"/>
        </w:rPr>
      </w:pPr>
    </w:p>
    <w:p>
      <w:pPr>
        <w:pStyle w:val="41"/>
        <w:spacing w:line="360" w:lineRule="auto"/>
        <w:rPr>
          <w:rFonts w:ascii="宋体"/>
          <w:sz w:val="24"/>
          <w:szCs w:val="24"/>
        </w:rPr>
      </w:pPr>
    </w:p>
    <w:p>
      <w:pPr>
        <w:pStyle w:val="2"/>
        <w:spacing w:before="0" w:afterLines="50" w:after="156" w:line="240" w:lineRule="auto"/>
        <w:jc w:val="center"/>
        <w:rPr>
          <w:rFonts w:ascii="黑体" w:eastAsia="黑体" w:cs="宋体"/>
          <w:b w:val="0"/>
        </w:rPr>
      </w:pPr>
      <w:r>
        <w:rPr>
          <w:rFonts w:ascii="黑体" w:eastAsia="黑体" w:cs="宋体" w:hint="eastAsia"/>
          <w:b w:val="0"/>
        </w:rPr>
        <w:t>九、技术/服务响应偏离表</w:t>
      </w:r>
    </w:p>
    <w:p>
      <w:pPr>
        <w:ind w:firstLineChars="98" w:firstLine="235"/>
        <w:rPr>
          <w:rFonts w:ascii="宋体"/>
          <w:sz w:val="24"/>
        </w:rPr>
      </w:pPr>
    </w:p>
    <w:p>
      <w:pPr>
        <w:ind w:firstLineChars="98" w:firstLine="235"/>
        <w:rPr>
          <w:rFonts w:ascii="宋体"/>
          <w:bCs/>
          <w:sz w:val="24"/>
        </w:rPr>
      </w:pPr>
      <w:r>
        <w:rPr>
          <w:rFonts w:ascii="宋体" w:hint="eastAsia"/>
          <w:sz w:val="24"/>
        </w:rPr>
        <w:t>项目名称：</w:t>
      </w:r>
      <w:r>
        <w:rPr>
          <w:rFonts w:ascii="宋体"/>
          <w:sz w:val="24"/>
        </w:rPr>
        <w:t xml:space="preserve"> </w:t>
      </w:r>
    </w:p>
    <w:tbl>
      <w:tblPr>
        <w:jc w:val="cente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77"/>
        <w:gridCol w:w="2421"/>
        <w:gridCol w:w="1785"/>
        <w:gridCol w:w="1484"/>
        <w:gridCol w:w="1456"/>
      </w:tblGrid>
      <w:tr>
        <w:trPr>
          <w:trHeight w:val="700"/>
        </w:trPr>
        <w:tc>
          <w:tcPr>
            <w:tcW w:w="1677" w:type="dxa"/>
            <w:noWrap/>
            <w:vAlign w:val="center"/>
          </w:tcPr>
          <w:p>
            <w:pPr>
              <w:adjustRightInd w:val="0"/>
              <w:snapToGrid w:val="0"/>
              <w:jc w:val="center"/>
              <w:rPr>
                <w:rFonts w:ascii="宋体"/>
                <w:sz w:val="24"/>
              </w:rPr>
            </w:pPr>
            <w:r>
              <w:rPr>
                <w:rFonts w:ascii="宋体" w:hint="eastAsia"/>
                <w:sz w:val="24"/>
              </w:rPr>
              <w:t>内容</w:t>
            </w:r>
          </w:p>
        </w:tc>
        <w:tc>
          <w:tcPr>
            <w:tcW w:w="2421" w:type="dxa"/>
            <w:noWrap/>
            <w:vAlign w:val="center"/>
          </w:tcPr>
          <w:p>
            <w:pPr>
              <w:adjustRightInd w:val="0"/>
              <w:snapToGrid w:val="0"/>
              <w:spacing w:line="360" w:lineRule="auto"/>
              <w:jc w:val="center"/>
              <w:rPr>
                <w:rFonts w:ascii="宋体"/>
                <w:sz w:val="24"/>
              </w:rPr>
            </w:pPr>
            <w:r>
              <w:rPr>
                <w:rFonts w:ascii="宋体" w:hint="eastAsia"/>
                <w:sz w:val="24"/>
              </w:rPr>
              <w:t>比选要求</w:t>
            </w:r>
          </w:p>
        </w:tc>
        <w:tc>
          <w:tcPr>
            <w:tcW w:w="1785" w:type="dxa"/>
            <w:noWrap/>
            <w:vAlign w:val="center"/>
          </w:tcPr>
          <w:p>
            <w:pPr>
              <w:adjustRightInd w:val="0"/>
              <w:snapToGrid w:val="0"/>
              <w:spacing w:line="360" w:lineRule="auto"/>
              <w:jc w:val="center"/>
              <w:rPr>
                <w:rFonts w:ascii="宋体"/>
                <w:sz w:val="24"/>
              </w:rPr>
            </w:pPr>
            <w:r>
              <w:rPr>
                <w:rFonts w:ascii="宋体" w:hint="eastAsia"/>
                <w:sz w:val="24"/>
              </w:rPr>
              <w:t>投标响应</w:t>
            </w:r>
          </w:p>
        </w:tc>
        <w:tc>
          <w:tcPr>
            <w:tcW w:w="1484" w:type="dxa"/>
            <w:noWrap/>
            <w:vAlign w:val="center"/>
          </w:tcPr>
          <w:p>
            <w:pPr>
              <w:adjustRightInd w:val="0"/>
              <w:snapToGrid w:val="0"/>
              <w:spacing w:line="360" w:lineRule="auto"/>
              <w:jc w:val="center"/>
              <w:rPr>
                <w:rFonts w:ascii="宋体"/>
                <w:sz w:val="24"/>
              </w:rPr>
            </w:pPr>
            <w:r>
              <w:rPr>
                <w:rFonts w:ascii="宋体" w:hint="eastAsia"/>
                <w:sz w:val="24"/>
              </w:rPr>
              <w:t>是否偏离</w:t>
            </w:r>
          </w:p>
        </w:tc>
        <w:tc>
          <w:tcPr>
            <w:tcW w:w="1456" w:type="dxa"/>
            <w:noWrap/>
            <w:vAlign w:val="center"/>
          </w:tcPr>
          <w:p>
            <w:pPr>
              <w:adjustRightInd w:val="0"/>
              <w:snapToGrid w:val="0"/>
              <w:spacing w:line="360" w:lineRule="auto"/>
              <w:jc w:val="center"/>
              <w:rPr>
                <w:rFonts w:ascii="宋体"/>
                <w:sz w:val="24"/>
              </w:rPr>
            </w:pPr>
            <w:r>
              <w:rPr>
                <w:rFonts w:ascii="宋体" w:hint="eastAsia"/>
                <w:sz w:val="24"/>
              </w:rPr>
              <w:t>偏离原因</w:t>
            </w:r>
          </w:p>
        </w:tc>
      </w:tr>
      <w:tr>
        <w:trPr>
          <w:trHeight w:val="700"/>
        </w:trPr>
        <w:tc>
          <w:tcPr>
            <w:tcW w:w="1677" w:type="dxa"/>
            <w:noWrap/>
            <w:vAlign w:val="center"/>
          </w:tcPr>
          <w:p>
            <w:pPr>
              <w:pStyle w:val="22"/>
              <w:adjustRightInd w:val="0"/>
              <w:snapToGrid w:val="0"/>
              <w:spacing w:line="240" w:lineRule="auto"/>
              <w:jc w:val="center"/>
            </w:pPr>
          </w:p>
        </w:tc>
        <w:tc>
          <w:tcPr>
            <w:tcW w:w="2421" w:type="dxa"/>
            <w:noWrap/>
            <w:vAlign w:val="center"/>
          </w:tcPr>
          <w:p>
            <w:pPr>
              <w:adjustRightInd w:val="0"/>
              <w:snapToGrid w:val="0"/>
              <w:spacing w:line="360" w:lineRule="auto"/>
              <w:jc w:val="center"/>
              <w:rPr>
                <w:rFonts w:ascii="宋体"/>
                <w:sz w:val="24"/>
              </w:rPr>
            </w:pPr>
          </w:p>
        </w:tc>
        <w:tc>
          <w:tcPr>
            <w:tcW w:w="1785" w:type="dxa"/>
            <w:noWrap/>
            <w:vAlign w:val="center"/>
          </w:tcPr>
          <w:p>
            <w:pPr>
              <w:adjustRightInd w:val="0"/>
              <w:snapToGrid w:val="0"/>
              <w:spacing w:line="360" w:lineRule="auto"/>
              <w:jc w:val="center"/>
              <w:rPr>
                <w:rFonts w:ascii="宋体"/>
                <w:sz w:val="24"/>
              </w:rPr>
            </w:pPr>
          </w:p>
        </w:tc>
        <w:tc>
          <w:tcPr>
            <w:tcW w:w="1484" w:type="dxa"/>
            <w:noWrap/>
            <w:vAlign w:val="center"/>
          </w:tcPr>
          <w:p>
            <w:pPr>
              <w:adjustRightInd w:val="0"/>
              <w:snapToGrid w:val="0"/>
              <w:spacing w:line="360" w:lineRule="auto"/>
              <w:jc w:val="center"/>
              <w:rPr>
                <w:rFonts w:ascii="宋体"/>
                <w:sz w:val="24"/>
              </w:rPr>
            </w:pPr>
          </w:p>
        </w:tc>
        <w:tc>
          <w:tcPr>
            <w:tcW w:w="1456" w:type="dxa"/>
            <w:noWrap/>
            <w:vAlign w:val="center"/>
          </w:tcPr>
          <w:p>
            <w:pPr>
              <w:adjustRightInd w:val="0"/>
              <w:snapToGrid w:val="0"/>
              <w:spacing w:line="360" w:lineRule="auto"/>
              <w:jc w:val="center"/>
              <w:rPr>
                <w:rFonts w:ascii="宋体"/>
                <w:sz w:val="24"/>
              </w:rPr>
            </w:pPr>
          </w:p>
        </w:tc>
      </w:tr>
      <w:tr>
        <w:trPr>
          <w:trHeight w:val="700"/>
        </w:trPr>
        <w:tc>
          <w:tcPr>
            <w:tcW w:w="1677" w:type="dxa"/>
            <w:noWrap/>
            <w:vAlign w:val="center"/>
          </w:tcPr>
          <w:p>
            <w:pPr>
              <w:pStyle w:val="22"/>
              <w:adjustRightInd w:val="0"/>
              <w:snapToGrid w:val="0"/>
              <w:spacing w:line="240" w:lineRule="auto"/>
              <w:jc w:val="center"/>
            </w:pPr>
          </w:p>
        </w:tc>
        <w:tc>
          <w:tcPr>
            <w:tcW w:w="2421" w:type="dxa"/>
            <w:noWrap/>
            <w:vAlign w:val="center"/>
          </w:tcPr>
          <w:p>
            <w:pPr>
              <w:adjustRightInd w:val="0"/>
              <w:snapToGrid w:val="0"/>
              <w:spacing w:line="360" w:lineRule="auto"/>
              <w:jc w:val="center"/>
              <w:rPr>
                <w:rFonts w:ascii="宋体"/>
                <w:sz w:val="24"/>
              </w:rPr>
            </w:pPr>
          </w:p>
        </w:tc>
        <w:tc>
          <w:tcPr>
            <w:tcW w:w="1785" w:type="dxa"/>
            <w:noWrap/>
            <w:vAlign w:val="center"/>
          </w:tcPr>
          <w:p>
            <w:pPr>
              <w:adjustRightInd w:val="0"/>
              <w:snapToGrid w:val="0"/>
              <w:spacing w:line="360" w:lineRule="auto"/>
              <w:jc w:val="center"/>
              <w:rPr>
                <w:rFonts w:ascii="宋体"/>
                <w:sz w:val="24"/>
              </w:rPr>
            </w:pPr>
          </w:p>
        </w:tc>
        <w:tc>
          <w:tcPr>
            <w:tcW w:w="1484" w:type="dxa"/>
            <w:noWrap/>
            <w:vAlign w:val="center"/>
          </w:tcPr>
          <w:p>
            <w:pPr>
              <w:adjustRightInd w:val="0"/>
              <w:snapToGrid w:val="0"/>
              <w:spacing w:line="360" w:lineRule="auto"/>
              <w:jc w:val="center"/>
              <w:rPr>
                <w:rFonts w:ascii="宋体"/>
                <w:sz w:val="24"/>
              </w:rPr>
            </w:pPr>
          </w:p>
        </w:tc>
        <w:tc>
          <w:tcPr>
            <w:tcW w:w="1456" w:type="dxa"/>
            <w:noWrap/>
            <w:vAlign w:val="center"/>
          </w:tcPr>
          <w:p>
            <w:pPr>
              <w:adjustRightInd w:val="0"/>
              <w:snapToGrid w:val="0"/>
              <w:spacing w:line="360" w:lineRule="auto"/>
              <w:jc w:val="center"/>
              <w:rPr>
                <w:rFonts w:ascii="宋体"/>
                <w:sz w:val="24"/>
              </w:rPr>
            </w:pPr>
          </w:p>
        </w:tc>
      </w:tr>
      <w:tr>
        <w:trPr>
          <w:trHeight w:val="700"/>
        </w:trPr>
        <w:tc>
          <w:tcPr>
            <w:tcW w:w="1677" w:type="dxa"/>
            <w:noWrap/>
            <w:vAlign w:val="center"/>
          </w:tcPr>
          <w:p>
            <w:pPr>
              <w:pStyle w:val="22"/>
              <w:adjustRightInd w:val="0"/>
              <w:snapToGrid w:val="0"/>
              <w:spacing w:line="240" w:lineRule="auto"/>
              <w:jc w:val="center"/>
            </w:pPr>
          </w:p>
        </w:tc>
        <w:tc>
          <w:tcPr>
            <w:tcW w:w="2421" w:type="dxa"/>
            <w:noWrap/>
            <w:vAlign w:val="center"/>
          </w:tcPr>
          <w:p>
            <w:pPr>
              <w:adjustRightInd w:val="0"/>
              <w:snapToGrid w:val="0"/>
              <w:spacing w:line="360" w:lineRule="auto"/>
              <w:jc w:val="center"/>
              <w:rPr>
                <w:rFonts w:ascii="宋体"/>
                <w:sz w:val="24"/>
              </w:rPr>
            </w:pPr>
          </w:p>
        </w:tc>
        <w:tc>
          <w:tcPr>
            <w:tcW w:w="1785" w:type="dxa"/>
            <w:noWrap/>
            <w:vAlign w:val="center"/>
          </w:tcPr>
          <w:p>
            <w:pPr>
              <w:adjustRightInd w:val="0"/>
              <w:snapToGrid w:val="0"/>
              <w:spacing w:line="360" w:lineRule="auto"/>
              <w:jc w:val="center"/>
              <w:rPr>
                <w:rFonts w:ascii="宋体"/>
                <w:sz w:val="24"/>
              </w:rPr>
            </w:pPr>
          </w:p>
        </w:tc>
        <w:tc>
          <w:tcPr>
            <w:tcW w:w="1484" w:type="dxa"/>
            <w:noWrap/>
            <w:vAlign w:val="center"/>
          </w:tcPr>
          <w:p>
            <w:pPr>
              <w:adjustRightInd w:val="0"/>
              <w:snapToGrid w:val="0"/>
              <w:spacing w:line="360" w:lineRule="auto"/>
              <w:jc w:val="center"/>
              <w:rPr>
                <w:rFonts w:ascii="宋体"/>
                <w:sz w:val="24"/>
              </w:rPr>
            </w:pPr>
          </w:p>
        </w:tc>
        <w:tc>
          <w:tcPr>
            <w:tcW w:w="1456" w:type="dxa"/>
            <w:noWrap/>
            <w:vAlign w:val="center"/>
          </w:tcPr>
          <w:p>
            <w:pPr>
              <w:adjustRightInd w:val="0"/>
              <w:snapToGrid w:val="0"/>
              <w:spacing w:line="360" w:lineRule="auto"/>
              <w:jc w:val="center"/>
              <w:rPr>
                <w:rFonts w:ascii="宋体"/>
                <w:sz w:val="24"/>
              </w:rPr>
            </w:pPr>
          </w:p>
        </w:tc>
      </w:tr>
    </w:tbl>
    <w:p>
      <w:pPr>
        <w:rPr>
          <w:rFonts w:ascii="宋体"/>
          <w:sz w:val="24"/>
        </w:rPr>
      </w:pPr>
    </w:p>
    <w:p>
      <w:pPr>
        <w:tabs>
          <w:tab w:val="left" w:pos="6300"/>
        </w:tabs>
        <w:snapToGrid w:val="0"/>
        <w:spacing w:line="500" w:lineRule="exact"/>
        <w:ind w:firstLineChars="200" w:firstLine="480"/>
        <w:rPr>
          <w:rFonts w:ascii="宋体"/>
          <w:sz w:val="24"/>
        </w:rPr>
      </w:pPr>
      <w:r>
        <w:rPr>
          <w:rFonts w:ascii="宋体" w:hint="eastAsia"/>
          <w:sz w:val="24"/>
        </w:rPr>
        <w:t>注：本表即为对本项目“第三章</w:t>
      </w:r>
      <w:r>
        <w:rPr>
          <w:rFonts w:ascii="宋体"/>
          <w:sz w:val="24"/>
        </w:rPr>
        <w:t xml:space="preserve"> </w:t>
      </w:r>
      <w:r>
        <w:rPr>
          <w:rFonts w:ascii="宋体" w:hint="eastAsia"/>
          <w:sz w:val="24"/>
        </w:rPr>
        <w:t>项目需求”中所列条款进行比较和响应。</w:t>
      </w:r>
    </w:p>
    <w:p>
      <w:pPr>
        <w:adjustRightInd w:val="0"/>
        <w:snapToGrid w:val="0"/>
        <w:spacing w:line="360" w:lineRule="auto"/>
        <w:rPr>
          <w:rFonts w:ascii="宋体"/>
          <w:sz w:val="24"/>
        </w:rPr>
      </w:pPr>
    </w:p>
    <w:p>
      <w:pPr>
        <w:adjustRightInd w:val="0"/>
        <w:snapToGrid w:val="0"/>
        <w:spacing w:line="360" w:lineRule="auto"/>
        <w:rPr>
          <w:rFonts w:ascii="宋体"/>
          <w:sz w:val="24"/>
        </w:rPr>
      </w:pPr>
    </w:p>
    <w:p>
      <w:pPr>
        <w:adjustRightInd w:val="0"/>
        <w:snapToGrid w:val="0"/>
        <w:spacing w:line="360" w:lineRule="auto"/>
        <w:jc w:val="right"/>
        <w:rPr>
          <w:rFonts w:ascii="宋体"/>
          <w:sz w:val="24"/>
        </w:rPr>
      </w:pPr>
      <w:r>
        <w:rPr>
          <w:rFonts w:ascii="宋体" w:hint="eastAsia"/>
          <w:sz w:val="24"/>
        </w:rPr>
        <w:t>供应商名称：</w:t>
      </w:r>
      <w:r>
        <w:rPr>
          <w:rFonts w:ascii="宋体"/>
          <w:sz w:val="24"/>
          <w:u w:val="single"/>
        </w:rPr>
        <w:t xml:space="preserve">                        </w:t>
      </w:r>
      <w:r>
        <w:rPr>
          <w:rFonts w:ascii="宋体" w:hint="eastAsia"/>
          <w:sz w:val="24"/>
        </w:rPr>
        <w:t>（公章）</w:t>
      </w:r>
    </w:p>
    <w:p>
      <w:pPr>
        <w:adjustRightInd w:val="0"/>
        <w:snapToGrid w:val="0"/>
        <w:spacing w:line="360" w:lineRule="auto"/>
        <w:jc w:val="right"/>
        <w:rPr>
          <w:rFonts w:ascii="宋体"/>
          <w:sz w:val="24"/>
        </w:rPr>
      </w:pPr>
      <w:r>
        <w:rPr>
          <w:rFonts w:ascii="宋体" w:hint="eastAsia"/>
          <w:sz w:val="24"/>
        </w:rPr>
        <w:t>日期：_____年</w:t>
      </w:r>
      <w:r>
        <w:rPr>
          <w:rFonts w:ascii="宋体"/>
          <w:sz w:val="24"/>
          <w:u w:val="single"/>
        </w:rPr>
        <w:t xml:space="preserve">   </w:t>
      </w:r>
      <w:r>
        <w:rPr>
          <w:rFonts w:ascii="宋体" w:hint="eastAsia"/>
          <w:sz w:val="24"/>
        </w:rPr>
        <w:t>月</w:t>
      </w:r>
      <w:r>
        <w:rPr>
          <w:rFonts w:ascii="宋体"/>
          <w:sz w:val="24"/>
          <w:u w:val="single"/>
        </w:rPr>
        <w:t xml:space="preserve">   </w:t>
      </w:r>
      <w:r>
        <w:rPr>
          <w:rFonts w:ascii="宋体" w:hint="eastAsia"/>
          <w:sz w:val="24"/>
        </w:rPr>
        <w:t>日</w:t>
      </w:r>
    </w:p>
    <w:p>
      <w:pPr>
        <w:pStyle w:val="41"/>
        <w:spacing w:line="360" w:lineRule="auto"/>
        <w:ind w:left="2625" w:hanging="2625"/>
        <w:jc w:val="center"/>
        <w:rPr>
          <w:rFonts w:ascii="宋体"/>
          <w:sz w:val="24"/>
          <w:szCs w:val="24"/>
        </w:rPr>
      </w:pPr>
    </w:p>
    <w:p>
      <w:pPr>
        <w:pStyle w:val="41"/>
        <w:spacing w:line="360" w:lineRule="auto"/>
        <w:ind w:left="2625" w:hanging="2625"/>
        <w:jc w:val="left"/>
        <w:rPr>
          <w:rFonts w:ascii="黑体" w:eastAsia="黑体"/>
          <w:b/>
          <w:sz w:val="32"/>
          <w:szCs w:val="32"/>
        </w:rPr>
      </w:pPr>
    </w:p>
    <w:p>
      <w:pPr>
        <w:pStyle w:val="2"/>
        <w:spacing w:before="0" w:afterLines="50" w:after="156" w:line="240" w:lineRule="auto"/>
        <w:jc w:val="center"/>
        <w:rPr>
          <w:rFonts w:ascii="黑体" w:eastAsia="黑体" w:cs="宋体"/>
          <w:b w:val="0"/>
        </w:rPr>
      </w:pPr>
      <w:r>
        <w:rPr>
          <w:rFonts w:ascii="黑体" w:eastAsia="黑体" w:cs="宋体"/>
          <w:b w:val="0"/>
        </w:rPr>
        <w:br w:type="page"/>
      </w:r>
      <w:r>
        <w:rPr>
          <w:rFonts w:ascii="黑体" w:eastAsia="黑体" w:cs="宋体" w:hint="eastAsia"/>
          <w:b w:val="0"/>
        </w:rPr>
        <w:t>十、资格证明相关文件（格式自拟）</w:t>
      </w:r>
    </w:p>
    <w:p>
      <w:pPr>
        <w:pStyle w:val="131"/>
      </w:pPr>
    </w:p>
    <w:p>
      <w:pPr>
        <w:pStyle w:val="131"/>
        <w:rPr>
          <w:rFonts w:ascii="宋体" w:cs="宋体"/>
          <w:bCs/>
          <w:sz w:val="24"/>
        </w:rPr>
      </w:pPr>
    </w:p>
    <w:p>
      <w:pPr>
        <w:pStyle w:val="131"/>
        <w:rPr>
          <w:rFonts w:ascii="宋体" w:cs="宋体"/>
          <w:bCs/>
          <w:sz w:val="24"/>
        </w:rPr>
      </w:pPr>
    </w:p>
    <w:p>
      <w:pPr>
        <w:pStyle w:val="131"/>
        <w:rPr>
          <w:rFonts w:ascii="宋体" w:cs="宋体"/>
          <w:bCs/>
          <w:sz w:val="24"/>
        </w:rPr>
      </w:pPr>
    </w:p>
    <w:p>
      <w:pPr>
        <w:pStyle w:val="131"/>
        <w:rPr>
          <w:rFonts w:ascii="宋体" w:cs="宋体"/>
          <w:bCs/>
          <w:sz w:val="24"/>
        </w:rPr>
      </w:pPr>
    </w:p>
    <w:p>
      <w:pPr>
        <w:pStyle w:val="131"/>
        <w:rPr>
          <w:rFonts w:ascii="宋体" w:cs="宋体"/>
          <w:bCs/>
          <w:sz w:val="24"/>
        </w:rPr>
      </w:pPr>
    </w:p>
    <w:p>
      <w:pPr>
        <w:pStyle w:val="131"/>
      </w:pPr>
    </w:p>
    <w:p>
      <w:pPr>
        <w:pStyle w:val="131"/>
      </w:pPr>
    </w:p>
    <w:p>
      <w:pPr>
        <w:pStyle w:val="131"/>
      </w:pPr>
    </w:p>
    <w:p>
      <w:pPr>
        <w:pStyle w:val="131"/>
      </w:pPr>
    </w:p>
    <w:p>
      <w:pPr>
        <w:pStyle w:val="131"/>
      </w:pPr>
    </w:p>
    <w:p>
      <w:pPr>
        <w:pStyle w:val="131"/>
      </w:pPr>
    </w:p>
    <w:p/>
    <w:p/>
    <w:p/>
    <w:p/>
    <w:p/>
    <w:p>
      <w:pPr>
        <w:pStyle w:val="2"/>
        <w:spacing w:before="0" w:afterLines="50" w:after="156" w:line="240" w:lineRule="auto"/>
        <w:jc w:val="center"/>
        <w:rPr>
          <w:rFonts w:ascii="黑体" w:eastAsia="黑体" w:cs="宋体"/>
          <w:b w:val="0"/>
        </w:rPr>
      </w:pPr>
      <w:r>
        <w:rPr>
          <w:rFonts w:ascii="黑体" w:eastAsia="黑体" w:cs="宋体"/>
          <w:b w:val="0"/>
        </w:rPr>
        <w:br w:type="page"/>
      </w:r>
      <w:r>
        <w:rPr>
          <w:rFonts w:ascii="黑体" w:eastAsia="黑体" w:cs="宋体" w:hint="eastAsia"/>
          <w:b w:val="0"/>
        </w:rPr>
        <w:t>十一、</w:t>
      </w:r>
      <w:bookmarkStart w:id="131" w:name="_Toc76661245"/>
      <w:bookmarkStart w:id="132" w:name="_Toc485990852"/>
      <w:r>
        <w:rPr>
          <w:rFonts w:ascii="黑体" w:eastAsia="黑体" w:cs="宋体" w:hint="eastAsia"/>
          <w:b w:val="0"/>
        </w:rPr>
        <w:t>质</w:t>
      </w:r>
      <w:r>
        <w:rPr>
          <w:rFonts w:ascii="黑体" w:eastAsia="黑体" w:cs="宋体"/>
          <w:b w:val="0"/>
        </w:rPr>
        <w:t xml:space="preserve"> </w:t>
      </w:r>
      <w:r>
        <w:rPr>
          <w:rFonts w:ascii="黑体" w:eastAsia="黑体" w:cs="宋体" w:hint="eastAsia"/>
          <w:b w:val="0"/>
        </w:rPr>
        <w:t>疑</w:t>
      </w:r>
      <w:r>
        <w:rPr>
          <w:rFonts w:ascii="黑体" w:eastAsia="黑体" w:cs="宋体"/>
          <w:b w:val="0"/>
        </w:rPr>
        <w:t xml:space="preserve"> </w:t>
      </w:r>
      <w:r>
        <w:rPr>
          <w:rFonts w:ascii="黑体" w:eastAsia="黑体" w:cs="宋体" w:hint="eastAsia"/>
          <w:b w:val="0"/>
        </w:rPr>
        <w:t>函</w:t>
      </w:r>
      <w:bookmarkEnd w:id="131"/>
      <w:bookmarkEnd w:id="132"/>
    </w:p>
    <w:p>
      <w:pPr>
        <w:pStyle w:val="43"/>
        <w:rPr>
          <w:rFonts w:ascii="宋体"/>
          <w:sz w:val="24"/>
          <w:szCs w:val="24"/>
        </w:rPr>
      </w:pPr>
      <w:r>
        <w:rPr>
          <w:rFonts w:ascii="宋体" w:hint="eastAsia"/>
          <w:sz w:val="24"/>
          <w:szCs w:val="24"/>
        </w:rPr>
        <w:t>质疑人名称：</w:t>
      </w:r>
    </w:p>
    <w:p>
      <w:pPr>
        <w:pStyle w:val="43"/>
        <w:rPr>
          <w:rFonts w:ascii="宋体"/>
          <w:sz w:val="24"/>
          <w:szCs w:val="24"/>
        </w:rPr>
      </w:pPr>
      <w:r>
        <w:rPr>
          <w:rFonts w:ascii="宋体" w:hint="eastAsia"/>
          <w:sz w:val="24"/>
          <w:szCs w:val="24"/>
        </w:rPr>
        <w:t>质疑人地址：</w:t>
      </w:r>
      <w:r>
        <w:rPr>
          <w:rFonts w:ascii="宋体"/>
          <w:sz w:val="24"/>
          <w:szCs w:val="24"/>
        </w:rPr>
        <w:t xml:space="preserve">                                       </w:t>
      </w:r>
    </w:p>
    <w:p>
      <w:pPr>
        <w:pStyle w:val="43"/>
        <w:rPr>
          <w:rFonts w:ascii="宋体"/>
          <w:sz w:val="24"/>
          <w:szCs w:val="24"/>
        </w:rPr>
      </w:pPr>
      <w:r>
        <w:rPr>
          <w:rFonts w:ascii="宋体" w:hint="eastAsia"/>
          <w:sz w:val="24"/>
          <w:szCs w:val="24"/>
        </w:rPr>
        <w:t>质疑人邮编：</w:t>
      </w:r>
      <w:r>
        <w:rPr>
          <w:rFonts w:ascii="宋体"/>
          <w:sz w:val="24"/>
          <w:szCs w:val="24"/>
        </w:rPr>
        <w:t xml:space="preserve">                                  </w:t>
      </w:r>
    </w:p>
    <w:p>
      <w:pPr>
        <w:pStyle w:val="43"/>
        <w:rPr>
          <w:rFonts w:ascii="宋体"/>
          <w:sz w:val="24"/>
          <w:szCs w:val="24"/>
        </w:rPr>
      </w:pPr>
      <w:r>
        <w:rPr>
          <w:rFonts w:ascii="宋体" w:hint="eastAsia"/>
          <w:sz w:val="24"/>
          <w:szCs w:val="24"/>
        </w:rPr>
        <w:t>联系人：</w:t>
      </w:r>
      <w:r>
        <w:rPr>
          <w:rFonts w:ascii="宋体"/>
          <w:sz w:val="24"/>
          <w:szCs w:val="24"/>
        </w:rPr>
        <w:t xml:space="preserve">                                      </w:t>
      </w:r>
    </w:p>
    <w:p>
      <w:pPr>
        <w:pStyle w:val="43"/>
        <w:rPr>
          <w:rFonts w:ascii="宋体"/>
          <w:sz w:val="24"/>
          <w:szCs w:val="24"/>
        </w:rPr>
      </w:pPr>
      <w:r>
        <w:rPr>
          <w:rFonts w:ascii="宋体" w:hint="eastAsia"/>
          <w:sz w:val="24"/>
          <w:szCs w:val="24"/>
        </w:rPr>
        <w:t>手机：</w:t>
      </w:r>
      <w:r>
        <w:rPr>
          <w:rFonts w:ascii="宋体"/>
          <w:sz w:val="24"/>
          <w:szCs w:val="24"/>
        </w:rPr>
        <w:t xml:space="preserve">                                  </w:t>
      </w:r>
    </w:p>
    <w:p>
      <w:pPr>
        <w:pStyle w:val="43"/>
        <w:rPr>
          <w:rFonts w:ascii="宋体"/>
          <w:sz w:val="24"/>
          <w:szCs w:val="24"/>
        </w:rPr>
      </w:pPr>
      <w:r>
        <w:rPr>
          <w:rFonts w:ascii="宋体" w:hint="eastAsia"/>
          <w:sz w:val="24"/>
          <w:szCs w:val="24"/>
        </w:rPr>
        <w:t>电子邮箱：</w:t>
      </w:r>
      <w:r>
        <w:rPr>
          <w:rFonts w:ascii="宋体"/>
          <w:sz w:val="24"/>
          <w:szCs w:val="24"/>
        </w:rPr>
        <w:t xml:space="preserve">                                  </w:t>
      </w:r>
    </w:p>
    <w:p>
      <w:pPr>
        <w:pStyle w:val="43"/>
        <w:rPr>
          <w:rFonts w:ascii="宋体"/>
          <w:sz w:val="24"/>
          <w:szCs w:val="24"/>
        </w:rPr>
      </w:pPr>
    </w:p>
    <w:p>
      <w:pPr>
        <w:pStyle w:val="43"/>
        <w:rPr>
          <w:rFonts w:ascii="宋体"/>
          <w:sz w:val="24"/>
          <w:szCs w:val="24"/>
        </w:rPr>
      </w:pPr>
      <w:r>
        <w:rPr>
          <w:rFonts w:ascii="宋体" w:hint="eastAsia"/>
          <w:sz w:val="24"/>
          <w:szCs w:val="24"/>
        </w:rPr>
        <w:t>质疑项目名称：</w:t>
      </w:r>
      <w:r>
        <w:rPr>
          <w:rFonts w:ascii="宋体"/>
          <w:sz w:val="24"/>
          <w:szCs w:val="24"/>
        </w:rPr>
        <w:t xml:space="preserve">                                  </w:t>
      </w:r>
    </w:p>
    <w:p>
      <w:pPr>
        <w:pStyle w:val="43"/>
        <w:rPr>
          <w:rFonts w:ascii="宋体"/>
          <w:sz w:val="24"/>
          <w:szCs w:val="24"/>
        </w:rPr>
      </w:pPr>
      <w:r>
        <w:rPr>
          <w:rFonts w:ascii="宋体" w:hint="eastAsia"/>
          <w:sz w:val="24"/>
          <w:szCs w:val="24"/>
        </w:rPr>
        <w:t>项目编号：</w:t>
      </w:r>
      <w:r>
        <w:rPr>
          <w:rFonts w:ascii="宋体"/>
          <w:sz w:val="24"/>
          <w:szCs w:val="24"/>
        </w:rPr>
        <w:t xml:space="preserve">                                      </w:t>
      </w:r>
    </w:p>
    <w:p>
      <w:pPr>
        <w:pStyle w:val="43"/>
        <w:rPr>
          <w:rFonts w:ascii="宋体"/>
          <w:sz w:val="24"/>
          <w:szCs w:val="24"/>
        </w:rPr>
      </w:pPr>
      <w:r>
        <w:rPr>
          <w:rFonts w:ascii="宋体" w:hint="eastAsia"/>
          <w:sz w:val="24"/>
          <w:szCs w:val="24"/>
        </w:rPr>
        <w:t>质疑类型：□采购文件</w:t>
      </w:r>
      <w:r>
        <w:rPr>
          <w:rFonts w:ascii="宋体"/>
          <w:sz w:val="24"/>
          <w:szCs w:val="24"/>
        </w:rPr>
        <w:t xml:space="preserve"> </w:t>
      </w:r>
      <w:r>
        <w:rPr>
          <w:rFonts w:ascii="宋体" w:hint="eastAsia"/>
          <w:sz w:val="24"/>
          <w:szCs w:val="24"/>
        </w:rPr>
        <w:t>□评审过程</w:t>
      </w:r>
      <w:r>
        <w:rPr>
          <w:rFonts w:ascii="宋体"/>
          <w:sz w:val="24"/>
          <w:szCs w:val="24"/>
        </w:rPr>
        <w:t xml:space="preserve"> </w:t>
      </w:r>
      <w:r>
        <w:rPr>
          <w:rFonts w:ascii="宋体" w:hint="eastAsia"/>
          <w:sz w:val="24"/>
          <w:szCs w:val="24"/>
        </w:rPr>
        <w:t>□成交结果</w:t>
      </w:r>
      <w:r>
        <w:rPr>
          <w:rFonts w:ascii="宋体"/>
          <w:sz w:val="24"/>
          <w:szCs w:val="24"/>
        </w:rPr>
        <w:t xml:space="preserve"> </w:t>
      </w:r>
      <w:r>
        <w:rPr>
          <w:rFonts w:ascii="宋体" w:hint="eastAsia"/>
          <w:sz w:val="24"/>
          <w:szCs w:val="24"/>
        </w:rPr>
        <w:t>□其他</w:t>
      </w:r>
    </w:p>
    <w:p>
      <w:pPr>
        <w:pStyle w:val="43"/>
        <w:rPr>
          <w:rFonts w:ascii="宋体"/>
          <w:sz w:val="24"/>
          <w:szCs w:val="24"/>
        </w:rPr>
      </w:pPr>
      <w:r>
        <w:rPr>
          <w:rFonts w:ascii="宋体" w:hint="eastAsia"/>
          <w:sz w:val="24"/>
          <w:szCs w:val="24"/>
        </w:rPr>
        <w:t>质疑事项：</w:t>
      </w:r>
    </w:p>
    <w:p>
      <w:pPr>
        <w:pStyle w:val="43"/>
        <w:rPr>
          <w:rFonts w:ascii="宋体"/>
          <w:sz w:val="24"/>
          <w:szCs w:val="24"/>
        </w:rPr>
      </w:pPr>
      <w:r>
        <w:rPr>
          <w:rFonts w:ascii="宋体"/>
          <w:sz w:val="24"/>
          <w:szCs w:val="24"/>
        </w:rPr>
        <w:t xml:space="preserve">                                 </w:t>
      </w:r>
    </w:p>
    <w:p>
      <w:pPr>
        <w:pStyle w:val="43"/>
        <w:rPr>
          <w:rFonts w:ascii="宋体"/>
          <w:sz w:val="24"/>
          <w:szCs w:val="24"/>
        </w:rPr>
      </w:pPr>
      <w:r>
        <w:rPr>
          <w:rFonts w:ascii="宋体" w:hint="eastAsia"/>
          <w:sz w:val="24"/>
          <w:szCs w:val="24"/>
        </w:rPr>
        <w:t>事实依据和证明材料：（可另附页详细说明）</w:t>
      </w:r>
      <w:r>
        <w:rPr>
          <w:rFonts w:ascii="宋体"/>
          <w:sz w:val="24"/>
          <w:szCs w:val="24"/>
        </w:rPr>
        <w:t xml:space="preserve"> </w:t>
      </w:r>
    </w:p>
    <w:p>
      <w:pPr>
        <w:pStyle w:val="43"/>
        <w:rPr>
          <w:rFonts w:ascii="宋体"/>
          <w:sz w:val="24"/>
          <w:szCs w:val="24"/>
        </w:rPr>
      </w:pPr>
      <w:r>
        <w:rPr>
          <w:rFonts w:ascii="宋体"/>
          <w:sz w:val="24"/>
          <w:szCs w:val="24"/>
        </w:rPr>
        <w:t xml:space="preserve">                                 </w:t>
      </w:r>
    </w:p>
    <w:p>
      <w:pPr>
        <w:pStyle w:val="43"/>
        <w:rPr>
          <w:rFonts w:ascii="宋体"/>
          <w:sz w:val="24"/>
          <w:szCs w:val="24"/>
        </w:rPr>
      </w:pPr>
      <w:r>
        <w:rPr>
          <w:rFonts w:ascii="宋体" w:hint="eastAsia"/>
          <w:sz w:val="24"/>
          <w:szCs w:val="24"/>
        </w:rPr>
        <w:t>法律依据：（可另附页详细说明）</w:t>
      </w:r>
      <w:r>
        <w:rPr>
          <w:rFonts w:ascii="宋体"/>
          <w:sz w:val="24"/>
          <w:szCs w:val="24"/>
        </w:rPr>
        <w:t xml:space="preserve">  </w:t>
      </w:r>
    </w:p>
    <w:p>
      <w:pPr>
        <w:pStyle w:val="43"/>
        <w:rPr>
          <w:rFonts w:ascii="宋体"/>
          <w:sz w:val="24"/>
          <w:szCs w:val="24"/>
        </w:rPr>
      </w:pPr>
      <w:r>
        <w:rPr>
          <w:rFonts w:ascii="宋体"/>
          <w:sz w:val="24"/>
          <w:szCs w:val="24"/>
        </w:rPr>
        <w:t xml:space="preserve">                                </w:t>
      </w:r>
    </w:p>
    <w:p>
      <w:pPr>
        <w:pStyle w:val="43"/>
        <w:rPr>
          <w:rFonts w:ascii="宋体"/>
          <w:sz w:val="24"/>
          <w:szCs w:val="24"/>
        </w:rPr>
      </w:pPr>
      <w:r>
        <w:rPr>
          <w:rFonts w:ascii="宋体" w:hint="eastAsia"/>
          <w:sz w:val="24"/>
          <w:szCs w:val="24"/>
        </w:rPr>
        <w:t>其他需要说明的事项：（可另附页详细说明）</w:t>
      </w:r>
      <w:r>
        <w:rPr>
          <w:rFonts w:ascii="宋体"/>
          <w:sz w:val="24"/>
          <w:szCs w:val="24"/>
        </w:rPr>
        <w:t xml:space="preserve">                                  </w:t>
      </w:r>
    </w:p>
    <w:p>
      <w:pPr>
        <w:pStyle w:val="43"/>
        <w:rPr>
          <w:rFonts w:ascii="宋体"/>
          <w:sz w:val="24"/>
          <w:szCs w:val="24"/>
        </w:rPr>
      </w:pPr>
    </w:p>
    <w:p>
      <w:pPr>
        <w:pStyle w:val="43"/>
        <w:rPr>
          <w:rFonts w:ascii="宋体"/>
          <w:sz w:val="24"/>
          <w:szCs w:val="24"/>
        </w:rPr>
      </w:pPr>
    </w:p>
    <w:p>
      <w:pPr>
        <w:pStyle w:val="43"/>
        <w:rPr>
          <w:rFonts w:ascii="宋体"/>
          <w:sz w:val="24"/>
          <w:szCs w:val="24"/>
        </w:rPr>
      </w:pPr>
    </w:p>
    <w:p>
      <w:pPr>
        <w:pStyle w:val="43"/>
        <w:rPr>
          <w:rFonts w:ascii="宋体"/>
          <w:sz w:val="24"/>
          <w:szCs w:val="24"/>
        </w:rPr>
      </w:pPr>
    </w:p>
    <w:p>
      <w:pPr>
        <w:pStyle w:val="43"/>
        <w:wordWrap w:val="0"/>
        <w:ind w:right="1120" w:firstLine="5040"/>
        <w:rPr>
          <w:rFonts w:ascii="宋体"/>
          <w:sz w:val="24"/>
          <w:szCs w:val="24"/>
        </w:rPr>
      </w:pPr>
      <w:r>
        <w:rPr>
          <w:rFonts w:ascii="宋体" w:hint="eastAsia"/>
          <w:sz w:val="24"/>
          <w:szCs w:val="24"/>
        </w:rPr>
        <w:t>日期：</w:t>
      </w:r>
      <w:r>
        <w:rPr>
          <w:rFonts w:ascii="宋体"/>
          <w:sz w:val="24"/>
          <w:szCs w:val="24"/>
        </w:rPr>
        <w:t xml:space="preserve">  </w:t>
      </w:r>
      <w:r>
        <w:rPr>
          <w:rFonts w:ascii="宋体" w:hint="eastAsia"/>
          <w:sz w:val="24"/>
          <w:szCs w:val="24"/>
        </w:rPr>
        <w:t>年</w:t>
      </w:r>
      <w:r>
        <w:rPr>
          <w:rFonts w:ascii="宋体"/>
          <w:sz w:val="24"/>
          <w:szCs w:val="24"/>
        </w:rPr>
        <w:t xml:space="preserve">  </w:t>
      </w:r>
      <w:r>
        <w:rPr>
          <w:rFonts w:ascii="宋体" w:hint="eastAsia"/>
          <w:sz w:val="24"/>
          <w:szCs w:val="24"/>
        </w:rPr>
        <w:t>月</w:t>
      </w:r>
      <w:r>
        <w:rPr>
          <w:rFonts w:ascii="宋体"/>
          <w:sz w:val="24"/>
          <w:szCs w:val="24"/>
        </w:rPr>
        <w:t xml:space="preserve">  </w:t>
      </w:r>
      <w:r>
        <w:rPr>
          <w:rFonts w:ascii="宋体" w:hint="eastAsia"/>
          <w:sz w:val="24"/>
          <w:szCs w:val="24"/>
        </w:rPr>
        <w:t>日</w:t>
      </w:r>
    </w:p>
    <w:p>
      <w:pPr>
        <w:pStyle w:val="43"/>
        <w:wordWrap w:val="0"/>
        <w:ind w:right="1120" w:firstLine="5040"/>
        <w:rPr>
          <w:rFonts w:ascii="宋体"/>
          <w:sz w:val="24"/>
          <w:szCs w:val="24"/>
        </w:rPr>
      </w:pPr>
    </w:p>
    <w:p>
      <w:pPr>
        <w:pStyle w:val="43"/>
        <w:ind w:right="740"/>
        <w:jc w:val="right"/>
        <w:rPr>
          <w:rFonts w:ascii="宋体"/>
          <w:sz w:val="24"/>
          <w:szCs w:val="24"/>
        </w:rPr>
      </w:pPr>
      <w:r>
        <w:rPr>
          <w:rFonts w:ascii="宋体" w:hint="eastAsia"/>
          <w:sz w:val="24"/>
          <w:szCs w:val="24"/>
        </w:rPr>
        <w:t>质疑人单位法人代表签字：</w:t>
      </w:r>
    </w:p>
    <w:p>
      <w:pPr>
        <w:pStyle w:val="43"/>
        <w:ind w:right="740"/>
        <w:jc w:val="right"/>
        <w:rPr>
          <w:rFonts w:ascii="宋体"/>
          <w:sz w:val="24"/>
          <w:szCs w:val="24"/>
        </w:rPr>
      </w:pPr>
    </w:p>
    <w:p>
      <w:pPr>
        <w:pStyle w:val="43"/>
        <w:ind w:right="900"/>
        <w:jc w:val="right"/>
        <w:rPr>
          <w:rFonts w:ascii="宋体"/>
          <w:sz w:val="24"/>
          <w:szCs w:val="24"/>
        </w:rPr>
      </w:pPr>
      <w:r>
        <w:rPr>
          <w:rFonts w:ascii="宋体" w:hint="eastAsia"/>
          <w:sz w:val="24"/>
          <w:szCs w:val="24"/>
        </w:rPr>
        <w:t>质疑人单位全称（盖章）：</w:t>
      </w:r>
    </w:p>
    <w:p>
      <w:pPr>
        <w:pStyle w:val="43"/>
        <w:rPr>
          <w:rFonts w:ascii="宋体"/>
          <w:sz w:val="24"/>
          <w:szCs w:val="24"/>
        </w:rPr>
      </w:pPr>
    </w:p>
    <w:p>
      <w:pPr>
        <w:pStyle w:val="43"/>
        <w:rPr>
          <w:rFonts w:ascii="宋体"/>
          <w:sz w:val="24"/>
          <w:szCs w:val="24"/>
        </w:rPr>
      </w:pPr>
    </w:p>
    <w:p>
      <w:pPr>
        <w:pStyle w:val="43"/>
        <w:rPr>
          <w:rFonts w:ascii="宋体"/>
          <w:sz w:val="24"/>
          <w:szCs w:val="24"/>
        </w:rPr>
      </w:pPr>
    </w:p>
    <w:p>
      <w:pPr>
        <w:pStyle w:val="43"/>
        <w:rPr>
          <w:rFonts w:ascii="宋体"/>
          <w:sz w:val="24"/>
          <w:szCs w:val="24"/>
        </w:rPr>
      </w:pPr>
    </w:p>
    <w:p>
      <w:pPr>
        <w:pStyle w:val="43"/>
        <w:rPr>
          <w:rFonts w:ascii="宋体"/>
          <w:sz w:val="24"/>
          <w:szCs w:val="24"/>
        </w:rPr>
      </w:pPr>
    </w:p>
    <w:p>
      <w:pPr>
        <w:pStyle w:val="43"/>
        <w:rPr>
          <w:rFonts w:ascii="宋体"/>
          <w:sz w:val="24"/>
          <w:szCs w:val="24"/>
        </w:rPr>
      </w:pPr>
      <w:r>
        <w:rPr>
          <w:rFonts w:ascii="宋体" w:hint="eastAsia"/>
          <w:sz w:val="24"/>
          <w:szCs w:val="24"/>
        </w:rPr>
        <w:t>注：</w:t>
      </w:r>
      <w:r>
        <w:rPr>
          <w:rFonts w:ascii="宋体"/>
          <w:sz w:val="24"/>
          <w:szCs w:val="24"/>
        </w:rPr>
        <w:t>1.</w:t>
      </w:r>
      <w:r>
        <w:rPr>
          <w:rFonts w:ascii="宋体" w:hint="eastAsia"/>
          <w:sz w:val="24"/>
          <w:szCs w:val="24"/>
        </w:rPr>
        <w:t>供应商为自然人的，由本人签字；供应商为法人或者其他组织的，应当由法定代表人签字并加盖公章。</w:t>
      </w:r>
    </w:p>
    <w:p>
      <w:pPr>
        <w:pStyle w:val="43"/>
        <w:ind w:firstLine="315"/>
        <w:rPr>
          <w:rFonts w:ascii="宋体"/>
          <w:sz w:val="24"/>
          <w:szCs w:val="24"/>
        </w:rPr>
      </w:pPr>
      <w:r>
        <w:rPr>
          <w:rFonts w:ascii="宋体"/>
          <w:kern w:val="0"/>
          <w:sz w:val="24"/>
          <w:szCs w:val="24"/>
        </w:rPr>
        <w:t>2.</w:t>
      </w:r>
      <w:r>
        <w:rPr>
          <w:rFonts w:ascii="宋体" w:hint="eastAsia"/>
          <w:kern w:val="0"/>
          <w:sz w:val="24"/>
          <w:szCs w:val="24"/>
        </w:rPr>
        <w:t>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hint="eastAsia"/>
          <w:sz w:val="24"/>
          <w:szCs w:val="24"/>
        </w:rPr>
        <w:t>。</w:t>
      </w:r>
    </w:p>
    <w:p>
      <w:pPr>
        <w:pStyle w:val="42"/>
        <w:rPr>
          <w:rFonts w:ascii="宋体"/>
          <w:sz w:val="24"/>
          <w:szCs w:val="24"/>
        </w:rPr>
      </w:pPr>
    </w:p>
    <w:p>
      <w:pPr>
        <w:pStyle w:val="2"/>
        <w:spacing w:before="0" w:afterLines="50" w:after="156" w:line="240" w:lineRule="auto"/>
        <w:jc w:val="center"/>
        <w:rPr>
          <w:rFonts w:ascii="黑体" w:eastAsia="黑体" w:cs="宋体"/>
          <w:b w:val="0"/>
        </w:rPr>
      </w:pPr>
      <w:r>
        <w:rPr>
          <w:rFonts w:ascii="黑体" w:eastAsia="黑体" w:cs="宋体"/>
          <w:b w:val="0"/>
        </w:rPr>
        <w:br w:type="page"/>
      </w:r>
      <w:r>
        <w:rPr>
          <w:rFonts w:ascii="黑体" w:eastAsia="黑体" w:cs="宋体" w:hint="eastAsia"/>
          <w:b w:val="0"/>
        </w:rPr>
        <w:t>十二、供应商认为需要提供的其他文件或证书。（格式自拟）</w:t>
      </w:r>
    </w:p>
    <w:p>
      <w:r>
        <w:t>&lt;</w:t>
      </w:r>
      <w:r>
        <w:rPr>
          <w:rFonts w:hint="eastAsia"/>
        </w:rPr>
        <w:t>完</w:t>
      </w:r>
      <w:r>
        <w:t>&gt;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SimHei"/>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0000000000000000000"/>
    <w:charset w:val="86"/>
    <w:family w:val="modern"/>
    <w:pitch w:val="variable"/>
    <w:sig w:usb0="00000000" w:usb1="080E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4"/>
      <w:tabs>
        <w:tab w:val="center" w:pos="4153"/>
        <w:tab w:val="right" w:pos="8306"/>
      </w:tabs>
      <w:jc w:val="center"/>
    </w:pPr>
    <w:r>
      <w:fldChar w:fldCharType="begin"/>
    </w:r>
    <w:r>
      <w:instrText xml:space="preserve"> PAGE   \* MERGEFORMAT </w:instrText>
    </w:r>
    <w:r>
      <w:fldChar w:fldCharType="separate"/>
    </w:r>
    <w:r>
      <w:rPr>
        <w:lang w:val="zh-CN"/>
      </w:rPr>
      <w:t>4</w:t>
    </w:r>
    <w:r>
      <w:rPr>
        <w:lang w:val="zh-CN"/>
      </w:rPr>
      <w:fldChar w:fldCharType="end"/>
    </w:r>
  </w:p>
  <w:p>
    <w:pPr>
      <w:pStyle w:val="24"/>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5"/>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287F3E2F"/>
    <w:multiLevelType w:val="multilevel"/>
    <w:tmpl w:val="287F3E2F"/>
    <w:lvl w:ilvl="0">
      <w:start w:val="1"/>
      <w:numFmt w:val="decimal"/>
      <w:lvlRestart w:val="0"/>
      <w:lvlText w:val="%1."/>
      <w:lvlJc w:val="left"/>
      <w:pPr>
        <w:ind w:left="0" w:hanging="0"/>
      </w:pPr>
      <w:rPr>
        <w:rFonts w:cs="Times New Roman" w:hint="eastAsia"/>
      </w:rPr>
    </w:lvl>
    <w:lvl w:ilvl="1">
      <w:start w:val="1"/>
      <w:numFmt w:val="decimal"/>
      <w:lvlText w:val="%1.%2"/>
      <w:lvlJc w:val="left"/>
      <w:pPr>
        <w:ind w:left="0" w:hanging="0"/>
      </w:pPr>
      <w:rPr>
        <w:rFonts w:cs="Times New Roman" w:hint="eastAsia"/>
      </w:rPr>
    </w:lvl>
    <w:lvl w:ilvl="2">
      <w:start w:val="1"/>
      <w:numFmt w:val="decimal"/>
      <w:lvlText w:val="%1.%2.%3"/>
      <w:lvlJc w:val="left"/>
      <w:pPr>
        <w:ind w:left="0" w:hanging="0"/>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1">
    <w:nsid w:val="00817EE2"/>
    <w:multiLevelType w:val="multilevel"/>
    <w:tmpl w:val="00817EE2"/>
    <w:lvl w:ilvl="0">
      <w:start w:val="1"/>
      <w:numFmt w:val="japaneseCounting"/>
      <w:lvlRestart w:val="0"/>
      <w:lvlText w:val="第%1章"/>
      <w:lvlJc w:val="left"/>
      <w:pPr>
        <w:ind w:left="960" w:hanging="96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5E041147"/>
    <w:multiLevelType w:val="multilevel"/>
    <w:tmpl w:val="5E041147"/>
    <w:lvl w:ilvl="0">
      <w:start w:val="11"/>
      <w:numFmt w:val="decimal"/>
      <w:lvlRestart w:val="0"/>
      <w:lvlText w:val="%1."/>
      <w:lvlJc w:val="left"/>
      <w:pPr>
        <w:ind w:left="0" w:hanging="0"/>
      </w:pPr>
      <w:rPr>
        <w:rFonts w:cs="Times New Roman" w:hint="eastAsia"/>
      </w:rPr>
    </w:lvl>
    <w:lvl w:ilvl="1">
      <w:start w:val="1"/>
      <w:numFmt w:val="decimal"/>
      <w:lvlText w:val="%1.%2"/>
      <w:lvlJc w:val="left"/>
      <w:pPr>
        <w:ind w:left="0" w:hanging="0"/>
      </w:pPr>
      <w:rPr>
        <w:rFonts w:cs="Times New Roman" w:hint="eastAsia"/>
      </w:rPr>
    </w:lvl>
    <w:lvl w:ilvl="2">
      <w:start w:val="1"/>
      <w:numFmt w:val="decimal"/>
      <w:lvlText w:val="%1.%2.%3"/>
      <w:lvlJc w:val="left"/>
      <w:pPr>
        <w:ind w:left="0" w:hanging="0"/>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3">
    <w:nsid w:val="387B0BA1"/>
    <w:multiLevelType w:val="multilevel"/>
    <w:tmpl w:val="387B0BA1"/>
    <w:lvl w:ilvl="0">
      <w:start w:val="12"/>
      <w:numFmt w:val="decimal"/>
      <w:lvlRestart w:val="0"/>
      <w:lvlText w:val="%1."/>
      <w:lvlJc w:val="left"/>
      <w:pPr>
        <w:ind w:left="0" w:hanging="0"/>
      </w:pPr>
      <w:rPr>
        <w:rFonts w:cs="Times New Roman" w:hint="eastAsia"/>
      </w:rPr>
    </w:lvl>
    <w:lvl w:ilvl="1">
      <w:start w:val="1"/>
      <w:numFmt w:val="decimal"/>
      <w:lvlText w:val="%1.%2"/>
      <w:lvlJc w:val="left"/>
      <w:pPr>
        <w:ind w:left="0" w:hanging="0"/>
      </w:pPr>
      <w:rPr>
        <w:rFonts w:cs="Times New Roman" w:hint="eastAsia"/>
      </w:rPr>
    </w:lvl>
    <w:lvl w:ilvl="2">
      <w:start w:val="1"/>
      <w:numFmt w:val="decimal"/>
      <w:lvlText w:val="%1.%2.%3"/>
      <w:lvlJc w:val="left"/>
      <w:pPr>
        <w:ind w:left="0" w:hanging="0"/>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4">
    <w:nsid w:val="37520564"/>
    <w:multiLevelType w:val="multilevel"/>
    <w:tmpl w:val="37520564"/>
    <w:lvl w:ilvl="0">
      <w:start w:val="13"/>
      <w:numFmt w:val="decimal"/>
      <w:lvlRestart w:val="0"/>
      <w:lvlText w:val="%1."/>
      <w:lvlJc w:val="left"/>
      <w:pPr>
        <w:ind w:left="0" w:hanging="0"/>
      </w:pPr>
      <w:rPr>
        <w:rFonts w:cs="Times New Roman" w:hint="eastAsia"/>
      </w:rPr>
    </w:lvl>
    <w:lvl w:ilvl="1">
      <w:start w:val="1"/>
      <w:numFmt w:val="decimal"/>
      <w:lvlText w:val="%1.%2"/>
      <w:lvlJc w:val="left"/>
      <w:pPr>
        <w:ind w:left="0" w:hanging="0"/>
      </w:pPr>
      <w:rPr>
        <w:rFonts w:cs="Times New Roman" w:hint="eastAsia"/>
      </w:rPr>
    </w:lvl>
    <w:lvl w:ilvl="2">
      <w:start w:val="1"/>
      <w:numFmt w:val="decimal"/>
      <w:lvlText w:val="%1.%2.%3"/>
      <w:lvlJc w:val="left"/>
      <w:pPr>
        <w:ind w:left="0" w:hanging="0"/>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5">
    <w:nsid w:val="00000018"/>
    <w:multiLevelType w:val="singleLevel"/>
    <w:tmpl w:val="00000018"/>
    <w:lvl w:ilvl="0">
      <w:start w:val="1"/>
      <w:numFmt w:val="decimal"/>
      <w:lvlRestart w:val="0"/>
      <w:lvlText w:val="%1."/>
      <w:lvlJc w:val="left"/>
      <w:pPr>
        <w:ind w:left="425" w:hanging="425"/>
      </w:pPr>
      <w:rPr>
        <w:rFonts w:hint="default"/>
      </w:rPr>
    </w:lvl>
  </w:abstractNum>
  <w:abstractNum w:abstractNumId="6">
    <w:nsid w:val="721F6DE2"/>
    <w:multiLevelType w:val="multilevel"/>
    <w:tmpl w:val="B13DFAED"/>
    <w:lvl w:ilvl="0">
      <w:start w:val="1"/>
      <w:numFmt w:val="decimal"/>
      <w:lvlRestart w:val="0"/>
      <w:pStyle w:val="39"/>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1"/>
  <w:bordersDoNotSurroundHeader/>
  <w:bordersDoNotSurroundFooter/>
  <w:defaultTabStop w:val="420"/>
  <w:drawingGridHorizontalSpacing w:val="105"/>
  <w:drawingGridVerticalSpacing w:val="156"/>
  <w:displayHorizontalDrawingGridEvery w:val="0"/>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TA2NjNiZDIyMTI3ZmE5MzMzNzMwZTk1MjUyNDc4ND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0"/>
    <w:pPr>
      <w:keepNext/>
      <w:keepLines/>
      <w:widowControl w:val="0"/>
      <w:spacing w:before="260" w:after="260" w:line="415" w:lineRule="auto"/>
      <w:outlineLvl w:val="1"/>
    </w:pPr>
    <w:rPr>
      <w:rFonts w:ascii="Cambria" w:hAnsi="Cambria"/>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Title"/>
    <w:basedOn w:val="0"/>
    <w:next w:val="0"/>
    <w:pPr>
      <w:spacing w:before="240" w:after="60" w:line="360" w:lineRule="auto"/>
      <w:jc w:val="center"/>
      <w:outlineLvl w:val="0"/>
    </w:pPr>
    <w:rPr>
      <w:b/>
      <w:bCs/>
      <w:sz w:val="32"/>
      <w:szCs w:val="32"/>
    </w:rPr>
  </w:style>
  <w:style w:type="paragraph" w:styleId="16">
    <w:name w:val="Document Map"/>
    <w:basedOn w:val="0"/>
    <w:rPr>
      <w:rFonts w:ascii="微软雅黑" w:hAnsi="微软雅黑"/>
      <w:sz w:val="18"/>
      <w:szCs w:val="18"/>
    </w:rPr>
  </w:style>
  <w:style w:type="paragraph" w:styleId="17">
    <w:name w:val="annotation text"/>
    <w:basedOn w:val="0"/>
    <w:pPr>
      <w:jc w:val="left"/>
    </w:pPr>
  </w:style>
  <w:style w:type="paragraph" w:styleId="18">
    <w:name w:val="Body Text"/>
    <w:basedOn w:val="0"/>
    <w:rPr>
      <w:rFonts w:ascii="仿宋_GB2312" w:eastAsia="仿宋_GB2312"/>
      <w:sz w:val="28"/>
    </w:rPr>
  </w:style>
  <w:style w:type="paragraph" w:styleId="19">
    <w:name w:val="toc 5"/>
    <w:basedOn w:val="0"/>
    <w:next w:val="0"/>
    <w:pPr>
      <w:ind w:left="1680"/>
    </w:pPr>
    <w:rPr>
      <w:rFonts w:ascii="Calibri" w:hAnsi="Calibri"/>
      <w:szCs w:val="21"/>
    </w:rPr>
  </w:style>
  <w:style w:type="paragraph" w:styleId="20">
    <w:name w:val="toc 3"/>
    <w:basedOn w:val="0"/>
    <w:next w:val="0"/>
    <w:pPr>
      <w:ind w:leftChars="400" w:left="400"/>
    </w:pPr>
  </w:style>
  <w:style w:type="paragraph" w:styleId="21">
    <w:name w:val="Plain Text"/>
    <w:basedOn w:val="0"/>
    <w:rPr>
      <w:rFonts w:ascii="宋体"/>
      <w:szCs w:val="20"/>
    </w:rPr>
  </w:style>
  <w:style w:type="paragraph" w:styleId="22">
    <w:name w:val="Body Text Indent 2"/>
    <w:basedOn w:val="0"/>
    <w:pPr>
      <w:spacing w:after="120" w:line="480" w:lineRule="auto"/>
      <w:ind w:leftChars="200" w:left="200"/>
    </w:pPr>
  </w:style>
  <w:style w:type="paragraph" w:styleId="23">
    <w:name w:val="Balloon Text"/>
    <w:basedOn w:val="0"/>
    <w:rPr>
      <w:sz w:val="18"/>
      <w:szCs w:val="18"/>
    </w:rPr>
  </w:style>
  <w:style w:type="paragraph" w:styleId="24">
    <w:name w:val="footer"/>
    <w:basedOn w:val="0"/>
    <w:pPr>
      <w:tabs>
        <w:tab w:val="center" w:pos="4153"/>
        <w:tab w:val="right" w:pos="8306"/>
      </w:tabs>
      <w:snapToGrid w:val="0"/>
      <w:jc w:val="left"/>
    </w:pPr>
    <w:rPr>
      <w:sz w:val="18"/>
      <w:szCs w:val="18"/>
    </w:rPr>
  </w:style>
  <w:style w:type="paragraph" w:styleId="25">
    <w:name w:val="header"/>
    <w:basedOn w:val="0"/>
    <w:pPr>
      <w:pBdr>
        <w:bottom w:val="single" w:sz="6" w:space="1" w:color="auto"/>
      </w:pBdr>
      <w:tabs>
        <w:tab w:val="center" w:pos="4153"/>
        <w:tab w:val="right" w:pos="8306"/>
      </w:tabs>
      <w:snapToGrid w:val="0"/>
      <w:jc w:val="center"/>
    </w:pPr>
    <w:rPr>
      <w:sz w:val="18"/>
      <w:szCs w:val="18"/>
    </w:rPr>
  </w:style>
  <w:style w:type="paragraph" w:styleId="26">
    <w:name w:val="toc 1"/>
    <w:basedOn w:val="0"/>
    <w:next w:val="0"/>
  </w:style>
  <w:style w:type="paragraph" w:styleId="27">
    <w:name w:val="toc 2"/>
    <w:basedOn w:val="0"/>
    <w:next w:val="0"/>
    <w:pPr>
      <w:ind w:leftChars="200" w:left="200"/>
    </w:pPr>
  </w:style>
  <w:style w:type="paragraph" w:styleId="28">
    <w:name w:val="Normal (Web)"/>
    <w:basedOn w:val="0"/>
    <w:rPr>
      <w:sz w:val="24"/>
    </w:rPr>
  </w:style>
  <w:style w:type="paragraph" w:styleId="29">
    <w:name w:val="annotation subject"/>
    <w:basedOn w:val="17"/>
    <w:next w:val="17"/>
    <w:rPr>
      <w:b/>
      <w:bCs/>
    </w:rPr>
  </w:style>
  <w:style w:type="character" w:styleId="30">
    <w:name w:val="page number"/>
  </w:style>
  <w:style w:type="character" w:styleId="31">
    <w:name w:val="FollowedHyperlink"/>
    <w:basedOn w:val="10"/>
    <w:rPr>
      <w:color w:val="800080"/>
      <w:u w:val="single"/>
    </w:rPr>
  </w:style>
  <w:style w:type="character" w:styleId="32">
    <w:name w:val="Hyperlink"/>
    <w:basedOn w:val="10"/>
    <w:rPr>
      <w:rFonts w:cs="Times New Roman"/>
      <w:color w:val="0000FF"/>
      <w:u w:val="single"/>
    </w:rPr>
  </w:style>
  <w:style w:type="character" w:styleId="33">
    <w:name w:val="annotation reference"/>
    <w:basedOn w:val="10"/>
    <w:rPr>
      <w:sz w:val="21"/>
      <w:szCs w:val="21"/>
    </w:rPr>
  </w:style>
  <w:style w:type="paragraph" w:customStyle="1" w:styleId="34">
    <w:name w:val="样式 小四"/>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35">
    <w:name w:val="样式 标题 1Title1H1l1I1heading 1h11st levell1+toc 1Chapter ...3"/>
    <w:basedOn w:val="1"/>
    <w:pPr>
      <w:tabs>
        <w:tab w:val="left" w:pos="432"/>
      </w:tabs>
      <w:spacing w:before="120" w:after="120" w:line="360" w:lineRule="auto"/>
    </w:pPr>
    <w:rPr>
      <w:rFonts w:ascii="宋体" w:hAnsi="宋体"/>
      <w:sz w:val="28"/>
    </w:rPr>
  </w:style>
  <w:style w:type="paragraph" w:customStyle="1" w:styleId="36">
    <w:name w:val="列表段落1"/>
    <w:basedOn w:val="0"/>
    <w:pPr>
      <w:ind w:firstLineChars="200" w:firstLine="200"/>
    </w:pPr>
    <w:rPr>
      <w:szCs w:val="20"/>
    </w:rPr>
  </w:style>
  <w:style w:type="paragraph" w:customStyle="1" w:styleId="37">
    <w:name w:val="图例"/>
    <w:basedOn w:val="0"/>
    <w:pPr>
      <w:spacing w:before="120" w:after="120" w:line="360" w:lineRule="auto"/>
      <w:jc w:val="center"/>
    </w:pPr>
    <w:rPr>
      <w:rFonts w:ascii="Calibri" w:eastAsia="仿宋_GB2312" w:hAnsi="Calibri"/>
      <w:b/>
      <w:sz w:val="24"/>
      <w:szCs w:val="20"/>
    </w:rPr>
  </w:style>
  <w:style w:type="paragraph" w:customStyle="1" w:styleId="38">
    <w:name w:val="列出段落1"/>
    <w:basedOn w:val="0"/>
    <w:pPr>
      <w:ind w:firstLineChars="200" w:firstLine="200"/>
    </w:pPr>
  </w:style>
  <w:style w:type="paragraph" w:customStyle="1" w:styleId="39">
    <w:name w:val="KS标题1"/>
    <w:basedOn w:val="1"/>
    <w:next w:val="0"/>
    <w:pPr>
      <w:numPr>
        <w:ilvl w:val="0"/>
        <w:numId w:val="7"/>
      </w:numPr>
      <w:tabs>
        <w:tab w:val="left" w:pos="432"/>
      </w:tabs>
    </w:pPr>
  </w:style>
  <w:style w:type="paragraph" w:customStyle="1" w:styleId="40">
    <w:name w:val="目录"/>
    <w:basedOn w:val="0"/>
    <w:pPr>
      <w:widowControl/>
      <w:jc w:val="center"/>
    </w:pPr>
    <w:rPr>
      <w:rFonts w:ascii="宋体"/>
      <w:b/>
      <w:kern w:val="0"/>
      <w:sz w:val="36"/>
      <w:szCs w:val="20"/>
    </w:rPr>
  </w:style>
  <w:style w:type="paragraph" w:customStyle="1" w:styleId="41">
    <w:name w:val="正文_3"/>
    <w:pPr>
      <w:widowControl w:val="0"/>
      <w:jc w:val="both"/>
    </w:pPr>
    <w:rPr>
      <w:rFonts w:ascii="Times New Roman" w:eastAsia="宋体" w:cs="Times New Roman" w:hAnsi="Times New Roman"/>
      <w:kern w:val="2"/>
      <w:sz w:val="21"/>
      <w:szCs w:val="22"/>
      <w:lang w:val="en-US" w:eastAsia="zh-CN" w:bidi="ar-SA"/>
    </w:rPr>
  </w:style>
  <w:style w:type="paragraph" w:customStyle="1" w:styleId="42">
    <w:name w:val="正文_5"/>
    <w:next w:val="0"/>
    <w:pPr>
      <w:widowControl w:val="0"/>
      <w:jc w:val="both"/>
    </w:pPr>
    <w:rPr>
      <w:rFonts w:ascii="Calibri" w:eastAsia="宋体" w:cs="Times New Roman" w:hAnsi="Calibri"/>
      <w:kern w:val="2"/>
      <w:sz w:val="21"/>
      <w:szCs w:val="22"/>
      <w:lang w:val="en-US" w:eastAsia="zh-CN" w:bidi="ar-SA"/>
    </w:rPr>
  </w:style>
  <w:style w:type="paragraph" w:customStyle="1" w:styleId="43">
    <w:name w:val="正文_6"/>
    <w:next w:val="0"/>
    <w:pPr>
      <w:widowControl w:val="0"/>
      <w:jc w:val="both"/>
    </w:pPr>
    <w:rPr>
      <w:rFonts w:ascii="Calibri" w:eastAsia="宋体" w:cs="Times New Roman" w:hAnsi="Calibri"/>
      <w:kern w:val="2"/>
      <w:sz w:val="21"/>
      <w:lang w:val="en-US" w:eastAsia="zh-CN" w:bidi="ar-SA"/>
    </w:rPr>
  </w:style>
  <w:style w:type="paragraph" w:customStyle="1" w:styleId="44">
    <w:name w:val="标题 22"/>
    <w:next w:val="0"/>
    <w:pPr>
      <w:keepNext/>
      <w:keepLines/>
      <w:widowControl w:val="0"/>
      <w:adjustRightInd w:val="0"/>
      <w:spacing w:before="260" w:after="260" w:line="416" w:lineRule="atLeast"/>
      <w:jc w:val="both"/>
      <w:textAlignment w:val="baseline"/>
      <w:outlineLvl w:val="1"/>
    </w:pPr>
    <w:rPr>
      <w:rFonts w:ascii="Calibri" w:eastAsia="宋体" w:cs="Times New Roman" w:hAnsi="Calibri"/>
      <w:b/>
      <w:sz w:val="30"/>
      <w:lang w:val="en-US" w:eastAsia="zh-CN" w:bidi="ar-SA"/>
    </w:rPr>
  </w:style>
  <w:style w:type="paragraph" w:customStyle="1" w:styleId="45">
    <w:name w:val="样式 10 磅"/>
    <w:next w:val="18"/>
    <w:rPr>
      <w:rFonts w:ascii="Times New Roman" w:eastAsia="宋体" w:cs="Times New Roman" w:hAnsi="Times New Roman"/>
      <w:sz w:val="21"/>
      <w:lang w:val="en-US" w:eastAsia="zh-CN" w:bidi="ar-SA"/>
    </w:rPr>
  </w:style>
  <w:style w:type="paragraph" w:customStyle="1" w:styleId="46">
    <w:name w:val="样式 1 10 磅"/>
    <w:next w:val="20"/>
    <w:pPr>
      <w:widowControl w:val="0"/>
      <w:jc w:val="both"/>
    </w:pPr>
    <w:rPr>
      <w:rFonts w:ascii="Times New Roman" w:eastAsia="宋体" w:cs="Times New Roman" w:hAnsi="Times New Roman"/>
      <w:kern w:val="2"/>
      <w:sz w:val="21"/>
      <w:szCs w:val="21"/>
      <w:lang w:val="en-US" w:eastAsia="zh-CN" w:bidi="ar-SA"/>
    </w:rPr>
  </w:style>
  <w:style w:type="paragraph" w:customStyle="1" w:styleId="47">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49">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51">
    <w:name w:val="样式 四号"/>
    <w:pPr>
      <w:widowControl w:val="0"/>
      <w:jc w:val="both"/>
    </w:pPr>
    <w:rPr>
      <w:rFonts w:ascii="仿宋_GB2312" w:eastAsia="仿宋_GB2312" w:cs="Times New Roman"/>
      <w:kern w:val="2"/>
      <w:sz w:val="28"/>
      <w:szCs w:val="24"/>
      <w:lang w:val="en-US" w:eastAsia="zh-CN" w:bidi="ar-SA"/>
    </w:rPr>
  </w:style>
  <w:style w:type="paragraph" w:customStyle="1" w:styleId="52">
    <w:name w:val="列出段落2"/>
    <w:next w:val="34"/>
    <w:pPr>
      <w:widowControl w:val="0"/>
      <w:ind w:firstLineChars="200" w:firstLine="200"/>
      <w:jc w:val="both"/>
    </w:pPr>
    <w:rPr>
      <w:rFonts w:ascii="Times New Roman" w:eastAsia="宋体" w:cs="Times New Roman" w:hAnsi="Times New Roman"/>
      <w:kern w:val="2"/>
      <w:sz w:val="21"/>
      <w:lang w:val="en-US" w:eastAsia="zh-CN" w:bidi="ar-SA"/>
    </w:rPr>
  </w:style>
  <w:style w:type="paragraph" w:customStyle="1" w:styleId="53">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样式 7 10 磅"/>
    <w:pPr>
      <w:widowControl w:val="0"/>
      <w:jc w:val="both"/>
    </w:pPr>
    <w:rPr>
      <w:rFonts w:ascii="宋体" w:eastAsia="宋体" w:cs="Times New Roman"/>
      <w:kern w:val="2"/>
      <w:sz w:val="21"/>
      <w:szCs w:val="21"/>
      <w:lang w:val="en-US" w:eastAsia="zh-CN" w:bidi="ar-SA"/>
    </w:rPr>
  </w:style>
  <w:style w:type="paragraph" w:customStyle="1" w:styleId="55">
    <w:name w:val="样式 8 10 磅"/>
    <w:pPr>
      <w:widowControl w:val="0"/>
      <w:jc w:val="both"/>
    </w:pPr>
    <w:rPr>
      <w:rFonts w:ascii="宋体" w:eastAsia="宋体" w:cs="Times New Roman"/>
      <w:kern w:val="2"/>
      <w:sz w:val="21"/>
      <w:szCs w:val="21"/>
      <w:lang w:val="en-US" w:eastAsia="zh-CN" w:bidi="ar-SA"/>
    </w:rPr>
  </w:style>
  <w:style w:type="paragraph" w:customStyle="1" w:styleId="56">
    <w:name w:val="样式 9 10 磅"/>
    <w:pPr>
      <w:widowControl w:val="0"/>
      <w:jc w:val="both"/>
    </w:pPr>
    <w:rPr>
      <w:rFonts w:ascii="宋体" w:eastAsia="宋体" w:cs="Times New Roman"/>
      <w:kern w:val="2"/>
      <w:sz w:val="21"/>
      <w:szCs w:val="21"/>
      <w:lang w:val="en-US" w:eastAsia="zh-CN" w:bidi="ar-SA"/>
    </w:rPr>
  </w:style>
  <w:style w:type="paragraph" w:customStyle="1" w:styleId="57">
    <w:name w:val="样式 10 10 磅"/>
    <w:pPr>
      <w:widowControl w:val="0"/>
      <w:jc w:val="both"/>
    </w:pPr>
    <w:rPr>
      <w:rFonts w:ascii="宋体" w:eastAsia="宋体" w:cs="Times New Roman"/>
      <w:kern w:val="2"/>
      <w:sz w:val="21"/>
      <w:szCs w:val="21"/>
      <w:lang w:val="en-US" w:eastAsia="zh-CN" w:bidi="ar-SA"/>
    </w:rPr>
  </w:style>
  <w:style w:type="paragraph" w:customStyle="1" w:styleId="58">
    <w:name w:val="样式 1 四号"/>
    <w:pPr>
      <w:widowControl w:val="0"/>
      <w:jc w:val="both"/>
    </w:pPr>
    <w:rPr>
      <w:rFonts w:ascii="仿宋_GB2312" w:eastAsia="仿宋_GB2312" w:cs="Times New Roman"/>
      <w:kern w:val="2"/>
      <w:sz w:val="28"/>
      <w:szCs w:val="24"/>
      <w:lang w:val="en-US" w:eastAsia="zh-CN" w:bidi="ar-SA"/>
    </w:rPr>
  </w:style>
  <w:style w:type="paragraph" w:customStyle="1" w:styleId="59">
    <w:name w:val="样式 11 10 磅"/>
    <w:pPr>
      <w:widowControl w:val="0"/>
      <w:jc w:val="both"/>
    </w:pPr>
    <w:rPr>
      <w:rFonts w:ascii="宋体" w:eastAsia="宋体" w:cs="Times New Roman"/>
      <w:kern w:val="2"/>
      <w:sz w:val="21"/>
      <w:szCs w:val="21"/>
      <w:lang w:val="en-US" w:eastAsia="zh-CN" w:bidi="ar-SA"/>
    </w:rPr>
  </w:style>
  <w:style w:type="paragraph" w:customStyle="1" w:styleId="60">
    <w:name w:val="样式 12 10 磅"/>
    <w:pPr>
      <w:widowControl w:val="0"/>
      <w:jc w:val="both"/>
    </w:pPr>
    <w:rPr>
      <w:rFonts w:ascii="宋体" w:eastAsia="宋体" w:cs="Times New Roman"/>
      <w:kern w:val="2"/>
      <w:sz w:val="21"/>
      <w:szCs w:val="21"/>
      <w:lang w:val="en-US" w:eastAsia="zh-CN" w:bidi="ar-SA"/>
    </w:rPr>
  </w:style>
  <w:style w:type="paragraph" w:customStyle="1" w:styleId="61">
    <w:name w:val="样式 13 10 磅"/>
    <w:pPr>
      <w:widowControl w:val="0"/>
      <w:jc w:val="both"/>
    </w:pPr>
    <w:rPr>
      <w:rFonts w:ascii="宋体" w:eastAsia="宋体" w:cs="Times New Roman"/>
      <w:kern w:val="2"/>
      <w:sz w:val="21"/>
      <w:szCs w:val="21"/>
      <w:lang w:val="en-US" w:eastAsia="zh-CN" w:bidi="ar-SA"/>
    </w:rPr>
  </w:style>
  <w:style w:type="paragraph" w:customStyle="1" w:styleId="62">
    <w:name w:val="样式 14 10 磅"/>
    <w:pPr>
      <w:widowControl w:val="0"/>
      <w:jc w:val="both"/>
    </w:pPr>
    <w:rPr>
      <w:rFonts w:ascii="宋体" w:eastAsia="宋体" w:cs="Times New Roman"/>
      <w:kern w:val="2"/>
      <w:sz w:val="21"/>
      <w:szCs w:val="21"/>
      <w:lang w:val="en-US" w:eastAsia="zh-CN" w:bidi="ar-SA"/>
    </w:rPr>
  </w:style>
  <w:style w:type="paragraph" w:customStyle="1" w:styleId="63">
    <w:name w:val="样式 15 10 磅"/>
    <w:pPr>
      <w:widowControl w:val="0"/>
      <w:jc w:val="both"/>
    </w:pPr>
    <w:rPr>
      <w:rFonts w:ascii="宋体" w:eastAsia="宋体" w:cs="Times New Roman"/>
      <w:kern w:val="2"/>
      <w:sz w:val="21"/>
      <w:szCs w:val="21"/>
      <w:lang w:val="en-US" w:eastAsia="zh-CN" w:bidi="ar-SA"/>
    </w:rPr>
  </w:style>
  <w:style w:type="paragraph" w:customStyle="1" w:styleId="64">
    <w:name w:val="样式 2 四号"/>
    <w:pPr>
      <w:widowControl w:val="0"/>
      <w:jc w:val="both"/>
    </w:pPr>
    <w:rPr>
      <w:rFonts w:ascii="仿宋_GB2312" w:eastAsia="仿宋_GB2312" w:cs="Times New Roman"/>
      <w:kern w:val="2"/>
      <w:sz w:val="28"/>
      <w:szCs w:val="24"/>
      <w:lang w:val="en-US" w:eastAsia="zh-CN" w:bidi="ar-SA"/>
    </w:rPr>
  </w:style>
  <w:style w:type="paragraph" w:customStyle="1" w:styleId="65">
    <w:name w:val="样式 16 10 磅"/>
    <w:pPr>
      <w:widowControl w:val="0"/>
      <w:jc w:val="both"/>
    </w:pPr>
    <w:rPr>
      <w:rFonts w:ascii="宋体" w:eastAsia="宋体" w:cs="Times New Roman"/>
      <w:kern w:val="2"/>
      <w:sz w:val="21"/>
      <w:szCs w:val="21"/>
      <w:lang w:val="en-US" w:eastAsia="zh-CN" w:bidi="ar-SA"/>
    </w:rPr>
  </w:style>
  <w:style w:type="paragraph" w:customStyle="1" w:styleId="66">
    <w:name w:val="样式 17 10 磅"/>
    <w:pPr>
      <w:widowControl w:val="0"/>
      <w:jc w:val="both"/>
    </w:pPr>
    <w:rPr>
      <w:rFonts w:ascii="宋体" w:eastAsia="宋体" w:cs="Times New Roman"/>
      <w:kern w:val="2"/>
      <w:sz w:val="21"/>
      <w:szCs w:val="21"/>
      <w:lang w:val="en-US" w:eastAsia="zh-CN" w:bidi="ar-SA"/>
    </w:rPr>
  </w:style>
  <w:style w:type="paragraph" w:customStyle="1" w:styleId="67">
    <w:name w:val="样式 18 10 磅"/>
    <w:pPr>
      <w:widowControl w:val="0"/>
      <w:jc w:val="both"/>
    </w:pPr>
    <w:rPr>
      <w:rFonts w:ascii="宋体" w:eastAsia="宋体" w:cs="Times New Roman"/>
      <w:kern w:val="2"/>
      <w:sz w:val="21"/>
      <w:szCs w:val="21"/>
      <w:lang w:val="en-US" w:eastAsia="zh-CN" w:bidi="ar-SA"/>
    </w:rPr>
  </w:style>
  <w:style w:type="paragraph" w:customStyle="1" w:styleId="68">
    <w:name w:val="样式 19 10 磅"/>
    <w:pPr>
      <w:widowControl w:val="0"/>
      <w:jc w:val="both"/>
    </w:pPr>
    <w:rPr>
      <w:rFonts w:ascii="宋体" w:eastAsia="宋体" w:cs="Times New Roman"/>
      <w:kern w:val="2"/>
      <w:sz w:val="21"/>
      <w:szCs w:val="21"/>
      <w:lang w:val="en-US" w:eastAsia="zh-CN" w:bidi="ar-SA"/>
    </w:rPr>
  </w:style>
  <w:style w:type="paragraph" w:customStyle="1" w:styleId="69">
    <w:name w:val="样式 20 10 磅"/>
    <w:pPr>
      <w:widowControl w:val="0"/>
      <w:jc w:val="both"/>
    </w:pPr>
    <w:rPr>
      <w:rFonts w:ascii="宋体" w:eastAsia="宋体" w:cs="Times New Roman"/>
      <w:kern w:val="2"/>
      <w:sz w:val="21"/>
      <w:szCs w:val="21"/>
      <w:lang w:val="en-US" w:eastAsia="zh-CN" w:bidi="ar-SA"/>
    </w:rPr>
  </w:style>
  <w:style w:type="paragraph" w:customStyle="1" w:styleId="70">
    <w:name w:val="样式 21 10 磅"/>
    <w:pPr>
      <w:widowControl w:val="0"/>
      <w:jc w:val="both"/>
    </w:pPr>
    <w:rPr>
      <w:rFonts w:ascii="宋体" w:eastAsia="宋体" w:cs="Times New Roman"/>
      <w:kern w:val="2"/>
      <w:sz w:val="21"/>
      <w:szCs w:val="21"/>
      <w:lang w:val="en-US" w:eastAsia="zh-CN" w:bidi="ar-SA"/>
    </w:rPr>
  </w:style>
  <w:style w:type="paragraph" w:customStyle="1" w:styleId="71">
    <w:name w:val="样式 22 10 磅"/>
    <w:pPr>
      <w:widowControl w:val="0"/>
      <w:jc w:val="both"/>
    </w:pPr>
    <w:rPr>
      <w:rFonts w:ascii="宋体" w:eastAsia="宋体" w:cs="Times New Roman"/>
      <w:kern w:val="2"/>
      <w:sz w:val="21"/>
      <w:szCs w:val="21"/>
      <w:lang w:val="en-US" w:eastAsia="zh-CN" w:bidi="ar-SA"/>
    </w:rPr>
  </w:style>
  <w:style w:type="paragraph" w:customStyle="1" w:styleId="72">
    <w:name w:val="样式 23 10 磅"/>
    <w:pPr>
      <w:widowControl w:val="0"/>
      <w:jc w:val="both"/>
    </w:pPr>
    <w:rPr>
      <w:rFonts w:ascii="宋体" w:eastAsia="宋体" w:cs="Times New Roman"/>
      <w:kern w:val="2"/>
      <w:sz w:val="21"/>
      <w:szCs w:val="21"/>
      <w:lang w:val="en-US" w:eastAsia="zh-CN" w:bidi="ar-SA"/>
    </w:rPr>
  </w:style>
  <w:style w:type="paragraph" w:customStyle="1" w:styleId="73">
    <w:name w:val="样式 3 四号"/>
    <w:pPr>
      <w:widowControl w:val="0"/>
      <w:jc w:val="both"/>
    </w:pPr>
    <w:rPr>
      <w:rFonts w:ascii="仿宋_GB2312" w:eastAsia="仿宋_GB2312" w:cs="Times New Roman"/>
      <w:kern w:val="2"/>
      <w:sz w:val="28"/>
      <w:szCs w:val="24"/>
      <w:lang w:val="en-US" w:eastAsia="zh-CN" w:bidi="ar-SA"/>
    </w:rPr>
  </w:style>
  <w:style w:type="paragraph" w:customStyle="1" w:styleId="74">
    <w:name w:val="样式 24 10 磅"/>
    <w:next w:val="143"/>
    <w:pPr>
      <w:widowControl w:val="0"/>
      <w:jc w:val="both"/>
    </w:pPr>
    <w:rPr>
      <w:rFonts w:ascii="宋体" w:eastAsia="宋体" w:cs="Times New Roman"/>
      <w:kern w:val="2"/>
      <w:sz w:val="21"/>
      <w:szCs w:val="21"/>
      <w:lang w:val="en-US" w:eastAsia="zh-CN" w:bidi="ar-SA"/>
    </w:rPr>
  </w:style>
  <w:style w:type="paragraph" w:customStyle="1" w:styleId="75">
    <w:name w:val="样式 25 10 磅"/>
    <w:pPr>
      <w:widowControl w:val="0"/>
      <w:jc w:val="both"/>
    </w:pPr>
    <w:rPr>
      <w:rFonts w:ascii="宋体" w:eastAsia="宋体" w:cs="Times New Roman"/>
      <w:kern w:val="2"/>
      <w:sz w:val="21"/>
      <w:szCs w:val="21"/>
      <w:lang w:val="en-US" w:eastAsia="zh-CN" w:bidi="ar-SA"/>
    </w:rPr>
  </w:style>
  <w:style w:type="paragraph" w:customStyle="1" w:styleId="76">
    <w:name w:val="样式 26 10 磅"/>
    <w:pPr>
      <w:widowControl w:val="0"/>
      <w:jc w:val="both"/>
    </w:pPr>
    <w:rPr>
      <w:rFonts w:ascii="宋体" w:eastAsia="宋体" w:cs="Times New Roman"/>
      <w:kern w:val="2"/>
      <w:sz w:val="21"/>
      <w:szCs w:val="21"/>
      <w:lang w:val="en-US" w:eastAsia="zh-CN" w:bidi="ar-SA"/>
    </w:rPr>
  </w:style>
  <w:style w:type="paragraph" w:customStyle="1" w:styleId="77">
    <w:name w:val="样式 4 四号"/>
    <w:pPr>
      <w:widowControl w:val="0"/>
      <w:jc w:val="both"/>
    </w:pPr>
    <w:rPr>
      <w:rFonts w:ascii="仿宋_GB2312" w:eastAsia="仿宋_GB2312" w:cs="Times New Roman"/>
      <w:kern w:val="2"/>
      <w:sz w:val="28"/>
      <w:szCs w:val="24"/>
      <w:lang w:val="en-US" w:eastAsia="zh-CN" w:bidi="ar-SA"/>
    </w:rPr>
  </w:style>
  <w:style w:type="paragraph" w:customStyle="1" w:styleId="78">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5 四号"/>
    <w:pPr>
      <w:widowControl w:val="0"/>
      <w:jc w:val="both"/>
    </w:pPr>
    <w:rPr>
      <w:rFonts w:ascii="仿宋_GB2312" w:eastAsia="仿宋_GB2312" w:cs="Times New Roman"/>
      <w:kern w:val="2"/>
      <w:sz w:val="28"/>
      <w:szCs w:val="24"/>
      <w:lang w:val="en-US" w:eastAsia="zh-CN" w:bidi="ar-SA"/>
    </w:rPr>
  </w:style>
  <w:style w:type="paragraph" w:customStyle="1" w:styleId="80">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6 四号"/>
    <w:pPr>
      <w:widowControl w:val="0"/>
      <w:jc w:val="both"/>
    </w:pPr>
    <w:rPr>
      <w:rFonts w:ascii="仿宋_GB2312" w:eastAsia="仿宋_GB2312" w:cs="Times New Roman"/>
      <w:kern w:val="2"/>
      <w:sz w:val="28"/>
      <w:szCs w:val="24"/>
      <w:lang w:val="en-US" w:eastAsia="zh-CN" w:bidi="ar-SA"/>
    </w:rPr>
  </w:style>
  <w:style w:type="paragraph" w:customStyle="1" w:styleId="82">
    <w:name w:val="样式 7 四号"/>
    <w:pPr>
      <w:widowControl w:val="0"/>
      <w:jc w:val="both"/>
    </w:pPr>
    <w:rPr>
      <w:rFonts w:ascii="仿宋_GB2312" w:eastAsia="仿宋_GB2312" w:cs="Times New Roman"/>
      <w:kern w:val="2"/>
      <w:sz w:val="28"/>
      <w:szCs w:val="24"/>
      <w:lang w:val="en-US" w:eastAsia="zh-CN" w:bidi="ar-SA"/>
    </w:rPr>
  </w:style>
  <w:style w:type="paragraph" w:customStyle="1" w:styleId="83">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8 四号"/>
    <w:pPr>
      <w:widowControl w:val="0"/>
      <w:jc w:val="both"/>
    </w:pPr>
    <w:rPr>
      <w:rFonts w:ascii="仿宋_GB2312" w:eastAsia="仿宋_GB2312" w:cs="Times New Roman"/>
      <w:kern w:val="2"/>
      <w:sz w:val="28"/>
      <w:szCs w:val="24"/>
      <w:lang w:val="en-US" w:eastAsia="zh-CN" w:bidi="ar-SA"/>
    </w:rPr>
  </w:style>
  <w:style w:type="paragraph" w:customStyle="1" w:styleId="85">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9 四号"/>
    <w:pPr>
      <w:widowControl w:val="0"/>
      <w:jc w:val="both"/>
    </w:pPr>
    <w:rPr>
      <w:rFonts w:ascii="仿宋_GB2312" w:eastAsia="仿宋_GB2312" w:cs="Times New Roman"/>
      <w:kern w:val="2"/>
      <w:sz w:val="28"/>
      <w:szCs w:val="24"/>
      <w:lang w:val="en-US" w:eastAsia="zh-CN" w:bidi="ar-SA"/>
    </w:rPr>
  </w:style>
  <w:style w:type="paragraph" w:customStyle="1" w:styleId="89">
    <w:name w:val="样式 10 四号"/>
    <w:pPr>
      <w:widowControl w:val="0"/>
      <w:jc w:val="both"/>
    </w:pPr>
    <w:rPr>
      <w:rFonts w:ascii="仿宋_GB2312" w:eastAsia="仿宋_GB2312" w:cs="Times New Roman"/>
      <w:kern w:val="2"/>
      <w:sz w:val="28"/>
      <w:szCs w:val="24"/>
      <w:lang w:val="en-US" w:eastAsia="zh-CN" w:bidi="ar-SA"/>
    </w:rPr>
  </w:style>
  <w:style w:type="paragraph" w:customStyle="1" w:styleId="90">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92">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94">
    <w:name w:val="样式 11 四号"/>
    <w:pPr>
      <w:widowControl w:val="0"/>
      <w:jc w:val="both"/>
    </w:pPr>
    <w:rPr>
      <w:rFonts w:ascii="仿宋_GB2312" w:eastAsia="仿宋_GB2312" w:cs="Times New Roman"/>
      <w:kern w:val="2"/>
      <w:sz w:val="28"/>
      <w:szCs w:val="24"/>
      <w:lang w:val="en-US" w:eastAsia="zh-CN" w:bidi="ar-SA"/>
    </w:rPr>
  </w:style>
  <w:style w:type="paragraph" w:customStyle="1" w:styleId="95">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96">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97">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98">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99">
    <w:name w:val="样式 12 四号"/>
    <w:pPr>
      <w:widowControl w:val="0"/>
      <w:jc w:val="both"/>
    </w:pPr>
    <w:rPr>
      <w:rFonts w:ascii="仿宋_GB2312" w:eastAsia="仿宋_GB2312" w:cs="Times New Roman"/>
      <w:kern w:val="2"/>
      <w:sz w:val="28"/>
      <w:szCs w:val="24"/>
      <w:lang w:val="en-US" w:eastAsia="zh-CN" w:bidi="ar-SA"/>
    </w:rPr>
  </w:style>
  <w:style w:type="paragraph" w:customStyle="1" w:styleId="100">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13 四号"/>
    <w:pPr>
      <w:widowControl w:val="0"/>
      <w:jc w:val="both"/>
    </w:pPr>
    <w:rPr>
      <w:rFonts w:ascii="仿宋_GB2312" w:eastAsia="仿宋_GB2312" w:cs="Times New Roman"/>
      <w:kern w:val="2"/>
      <w:sz w:val="28"/>
      <w:szCs w:val="24"/>
      <w:lang w:val="en-US" w:eastAsia="zh-CN" w:bidi="ar-SA"/>
    </w:rPr>
  </w:style>
  <w:style w:type="paragraph" w:customStyle="1" w:styleId="104">
    <w:name w:val="样式 14 四号"/>
    <w:pPr>
      <w:widowControl w:val="0"/>
      <w:jc w:val="both"/>
    </w:pPr>
    <w:rPr>
      <w:rFonts w:ascii="仿宋_GB2312" w:eastAsia="仿宋_GB2312" w:cs="Times New Roman"/>
      <w:kern w:val="2"/>
      <w:sz w:val="28"/>
      <w:szCs w:val="24"/>
      <w:lang w:val="en-US" w:eastAsia="zh-CN" w:bidi="ar-SA"/>
    </w:rPr>
  </w:style>
  <w:style w:type="paragraph" w:customStyle="1" w:styleId="105">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09">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28 三号"/>
    <w:pPr>
      <w:widowControl w:val="0"/>
      <w:jc w:val="both"/>
    </w:pPr>
    <w:rPr>
      <w:rFonts w:ascii="Times New Roman" w:eastAsia="方正仿宋_GBK" w:cs="Times New Roman" w:hAnsi="Times New Roman"/>
      <w:kern w:val="2"/>
      <w:sz w:val="32"/>
      <w:lang w:val="en-US" w:eastAsia="zh-CN" w:bidi="ar-SA"/>
    </w:rPr>
  </w:style>
  <w:style w:type="paragraph" w:customStyle="1" w:styleId="122">
    <w:name w:val="样式 30 三号"/>
    <w:pPr>
      <w:widowControl w:val="0"/>
      <w:jc w:val="both"/>
    </w:pPr>
    <w:rPr>
      <w:rFonts w:ascii="Times New Roman" w:eastAsia="方正仿宋_GBK" w:cs="Times New Roman" w:hAnsi="Times New Roman"/>
      <w:kern w:val="2"/>
      <w:sz w:val="32"/>
      <w:lang w:val="en-US" w:eastAsia="zh-CN" w:bidi="ar-SA"/>
    </w:rPr>
  </w:style>
  <w:style w:type="paragraph" w:customStyle="1" w:styleId="123">
    <w:name w:val="样式 33 三号"/>
    <w:pPr>
      <w:widowControl w:val="0"/>
      <w:jc w:val="both"/>
    </w:pPr>
    <w:rPr>
      <w:rFonts w:ascii="Times New Roman" w:eastAsia="方正仿宋_GBK" w:cs="Times New Roman" w:hAnsi="Times New Roman"/>
      <w:kern w:val="2"/>
      <w:sz w:val="32"/>
      <w:lang w:val="en-US" w:eastAsia="zh-CN" w:bidi="ar-SA"/>
    </w:rPr>
  </w:style>
  <w:style w:type="paragraph" w:customStyle="1" w:styleId="124">
    <w:name w:val="样式 2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5">
    <w:name w:val="样式 2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6">
    <w:name w:val="样式 29 三号"/>
    <w:pPr>
      <w:widowControl w:val="0"/>
      <w:jc w:val="both"/>
    </w:pPr>
    <w:rPr>
      <w:rFonts w:ascii="Times New Roman" w:eastAsia="方正仿宋_GBK" w:cs="Times New Roman" w:hAnsi="Times New Roman"/>
      <w:kern w:val="2"/>
      <w:sz w:val="32"/>
      <w:lang w:val="en-US" w:eastAsia="zh-CN" w:bidi="ar-SA"/>
    </w:rPr>
  </w:style>
  <w:style w:type="paragraph" w:customStyle="1" w:styleId="127">
    <w:name w:val="样式 3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8">
    <w:name w:val="样式 32 三号"/>
    <w:pPr>
      <w:widowControl w:val="0"/>
      <w:jc w:val="both"/>
    </w:pPr>
    <w:rPr>
      <w:rFonts w:ascii="Times New Roman" w:eastAsia="方正仿宋_GBK" w:cs="Times New Roman" w:hAnsi="Times New Roman"/>
      <w:kern w:val="2"/>
      <w:sz w:val="32"/>
      <w:lang w:val="en-US" w:eastAsia="zh-CN" w:bidi="ar-SA"/>
    </w:rPr>
  </w:style>
  <w:style w:type="paragraph" w:customStyle="1" w:styleId="129">
    <w:name w:val="样式 3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0">
    <w:name w:val="样式 3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1">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61 10 磅"/>
    <w:pPr>
      <w:widowControl w:val="0"/>
      <w:jc w:val="both"/>
    </w:pPr>
    <w:rPr>
      <w:rFonts w:ascii="Times New Roman" w:eastAsia="宋体" w:cs="Times New Roman" w:hAnsi="Times New Roman"/>
      <w:kern w:val="2"/>
      <w:sz w:val="21"/>
      <w:szCs w:val="24"/>
      <w:lang w:val="en-US" w:eastAsia="zh-CN" w:bidi="ar-SA"/>
    </w:rPr>
  </w:style>
  <w:style w:type="character" w:customStyle="1" w:styleId="134">
    <w:name w:val="im-content1"/>
    <w:basedOn w:val="10"/>
    <w:rPr>
      <w:rFonts w:cs="Times New Roman"/>
      <w:color w:val="000000"/>
    </w:rPr>
  </w:style>
  <w:style w:type="paragraph" w:customStyle="1" w:styleId="135">
    <w:name w:val="正文缩2"/>
    <w:pPr>
      <w:spacing w:line="360" w:lineRule="auto"/>
      <w:ind w:firstLineChars="100" w:firstLine="100"/>
    </w:pPr>
    <w:rPr>
      <w:rFonts w:ascii="Calibri" w:eastAsia="宋体" w:cs="Times New Roman" w:hAnsi="Calibri"/>
      <w:color w:val="FF0000"/>
      <w:sz w:val="24"/>
      <w:szCs w:val="24"/>
      <w:lang w:val="en-US" w:eastAsia="zh-CN" w:bidi="ar-SA"/>
    </w:rPr>
  </w:style>
  <w:style w:type="paragraph" w:customStyle="1" w:styleId="136">
    <w:name w:val="二级条标题"/>
    <w:basedOn w:val="0"/>
    <w:next w:val="0"/>
    <w:pPr>
      <w:widowControl/>
      <w:ind w:left="840"/>
      <w:outlineLvl w:val="3"/>
    </w:pPr>
    <w:rPr>
      <w:rFonts w:ascii="黑体" w:eastAsia="黑体"/>
      <w:kern w:val="0"/>
      <w:szCs w:val="20"/>
    </w:rPr>
  </w:style>
  <w:style w:type="paragraph" w:customStyle="1" w:styleId="137">
    <w:name w:val="修订1"/>
    <w:rPr>
      <w:rFonts w:ascii="Times New Roman" w:eastAsia="宋体" w:cs="Times New Roman" w:hAnsi="Times New Roman"/>
      <w:kern w:val="2"/>
      <w:sz w:val="21"/>
      <w:szCs w:val="24"/>
      <w:lang w:val="en-US" w:eastAsia="zh-CN" w:bidi="ar-SA"/>
    </w:rPr>
  </w:style>
  <w:style w:type="paragraph" w:customStyle="1" w:styleId="138">
    <w:name w:val="TOC 标题1"/>
    <w:basedOn w:val="1"/>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139">
    <w:name w:val="zjb正文"/>
    <w:basedOn w:val="0"/>
    <w:pPr>
      <w:spacing w:line="360" w:lineRule="auto"/>
      <w:ind w:firstLineChars="200" w:firstLine="200"/>
    </w:pPr>
    <w:rPr>
      <w:rFonts w:ascii="仿宋_GB2312" w:eastAsia="仿宋_GB2312" w:cs="宋体"/>
      <w:sz w:val="30"/>
      <w:szCs w:val="30"/>
    </w:rPr>
  </w:style>
  <w:style w:type="paragraph" w:styleId="140">
    <w:name w:val="Normal Indent"/>
    <w:next w:val="18"/>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styleId="141">
    <w:name w:val="footnote text"/>
    <w:next w:val="62"/>
    <w:pPr>
      <w:widowControl w:val="0"/>
      <w:snapToGrid w:val="0"/>
      <w:spacing w:line="360" w:lineRule="auto"/>
    </w:pPr>
    <w:rPr>
      <w:rFonts w:ascii="Times New Roman" w:eastAsia="宋体" w:cs="Times New Roman" w:hAnsi="Times New Roman"/>
      <w:kern w:val="2"/>
      <w:sz w:val="18"/>
      <w:szCs w:val="18"/>
      <w:lang w:val="en-US" w:eastAsia="zh-CN" w:bidi="ar-SA"/>
    </w:rPr>
  </w:style>
  <w:style w:type="paragraph" w:styleId="142">
    <w:name w:val="Body Text Indent"/>
    <w:basedOn w:val="0"/>
    <w:pPr>
      <w:spacing w:after="120"/>
      <w:ind w:left="420"/>
    </w:pPr>
  </w:style>
  <w:style w:type="paragraph" w:styleId="143">
    <w:name w:val="Body Text First Indent"/>
    <w:next w:val="78"/>
    <w:pPr>
      <w:widowControl w:val="0"/>
      <w:spacing w:line="360" w:lineRule="auto"/>
      <w:ind w:firstLine="425"/>
      <w:jc w:val="both"/>
    </w:pPr>
    <w:rPr>
      <w:rFonts w:ascii="Times New Roman" w:eastAsia="宋体" w:cs="Times New Roman" w:hAnsi="Times New Roman"/>
      <w:kern w:val="2"/>
      <w:sz w:val="24"/>
      <w:lang w:val="en-US" w:eastAsia="zh-CN" w:bidi="ar-SA"/>
    </w:rPr>
  </w:style>
  <w:style w:type="paragraph" w:styleId="144">
    <w:name w:val="Body Text First Indent 2"/>
    <w:basedOn w:val="142"/>
    <w:pPr>
      <w:ind w:firstLine="420"/>
    </w:pPr>
  </w:style>
  <w:style w:type="paragraph" w:customStyle="1" w:styleId="145">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65 10 磅"/>
    <w:rPr>
      <w:rFonts w:ascii="Times New Roman" w:eastAsia="宋体" w:cs="Times New Roman" w:hAnsi="Times New Roman"/>
      <w:sz w:val="21"/>
      <w:lang w:val="en-US" w:eastAsia="zh-CN" w:bidi="ar-SA"/>
    </w:rPr>
  </w:style>
  <w:style w:type="paragraph" w:customStyle="1" w:styleId="149">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50">
    <w:name w:val="样式 66 10 磅"/>
    <w:rPr>
      <w:rFonts w:ascii="Times New Roman" w:eastAsia="宋体" w:cs="Times New Roman" w:hAnsi="Times New Roman"/>
      <w:sz w:val="21"/>
      <w:lang w:val="en-US" w:eastAsia="zh-CN" w:bidi="ar-SA"/>
    </w:rPr>
  </w:style>
  <w:style w:type="paragraph" w:customStyle="1" w:styleId="151">
    <w:name w:val="样式 67 10 磅"/>
    <w:rPr>
      <w:rFonts w:ascii="Times New Roman" w:eastAsia="宋体" w:cs="Times New Roman" w:hAnsi="Times New Roman"/>
      <w:sz w:val="21"/>
      <w:lang w:val="en-US" w:eastAsia="zh-CN" w:bidi="ar-SA"/>
    </w:rPr>
  </w:style>
  <w:style w:type="paragraph" w:customStyle="1" w:styleId="152">
    <w:name w:val="样式 68 10 磅"/>
    <w:rPr>
      <w:rFonts w:ascii="Times New Roman" w:eastAsia="宋体" w:cs="Times New Roman" w:hAnsi="Times New Roman"/>
      <w:sz w:val="21"/>
      <w:lang w:val="en-US" w:eastAsia="zh-CN" w:bidi="ar-SA"/>
    </w:rPr>
  </w:style>
  <w:style w:type="paragraph" w:customStyle="1" w:styleId="153">
    <w:name w:val="样式 69 10 磅"/>
    <w:rPr>
      <w:rFonts w:ascii="Times New Roman" w:eastAsia="宋体" w:cs="Times New Roman" w:hAnsi="Times New Roman"/>
      <w:sz w:val="21"/>
      <w:lang w:val="en-US" w:eastAsia="zh-CN" w:bidi="ar-SA"/>
    </w:rPr>
  </w:style>
  <w:style w:type="paragraph" w:customStyle="1" w:styleId="154">
    <w:name w:val="样式 70 10 磅"/>
    <w:rPr>
      <w:rFonts w:ascii="Times New Roman" w:eastAsia="宋体" w:cs="Times New Roman" w:hAnsi="Times New Roman"/>
      <w:sz w:val="21"/>
      <w:lang w:val="en-US" w:eastAsia="zh-CN" w:bidi="ar-SA"/>
    </w:rPr>
  </w:style>
  <w:style w:type="paragraph" w:customStyle="1" w:styleId="155">
    <w:name w:val="样式 71 10 磅"/>
    <w:rPr>
      <w:rFonts w:ascii="Times New Roman" w:eastAsia="宋体" w:cs="Times New Roman" w:hAnsi="Times New Roman"/>
      <w:sz w:val="21"/>
      <w:lang w:val="en-US" w:eastAsia="zh-CN" w:bidi="ar-SA"/>
    </w:rPr>
  </w:style>
  <w:style w:type="paragraph" w:customStyle="1" w:styleId="156">
    <w:name w:val="样式 72 10 磅"/>
    <w:rPr>
      <w:rFonts w:ascii="Times New Roman" w:eastAsia="宋体" w:cs="Times New Roman" w:hAnsi="Times New Roman"/>
      <w:sz w:val="21"/>
      <w:lang w:val="en-US" w:eastAsia="zh-CN" w:bidi="ar-SA"/>
    </w:rPr>
  </w:style>
  <w:style w:type="paragraph" w:customStyle="1" w:styleId="157">
    <w:name w:val="样式 73 10 磅"/>
    <w:rPr>
      <w:rFonts w:ascii="Times New Roman" w:eastAsia="宋体" w:cs="Times New Roman" w:hAnsi="Times New Roman"/>
      <w:sz w:val="21"/>
      <w:lang w:val="en-US" w:eastAsia="zh-CN" w:bidi="ar-SA"/>
    </w:rPr>
  </w:style>
  <w:style w:type="paragraph" w:customStyle="1" w:styleId="158">
    <w:name w:val="样式 74 10 磅"/>
    <w:rPr>
      <w:rFonts w:ascii="Times New Roman" w:eastAsia="宋体" w:cs="Times New Roman" w:hAnsi="Times New Roman"/>
      <w:sz w:val="21"/>
      <w:lang w:val="en-US" w:eastAsia="zh-CN" w:bidi="ar-SA"/>
    </w:rPr>
  </w:style>
  <w:style w:type="paragraph" w:customStyle="1" w:styleId="159">
    <w:name w:val="样式 75 10 磅"/>
    <w:rPr>
      <w:rFonts w:ascii="Times New Roman" w:eastAsia="宋体" w:cs="Times New Roman" w:hAnsi="Times New Roman"/>
      <w:sz w:val="21"/>
      <w:lang w:val="en-US" w:eastAsia="zh-CN" w:bidi="ar-SA"/>
    </w:rPr>
  </w:style>
  <w:style w:type="paragraph" w:customStyle="1" w:styleId="160">
    <w:name w:val="样式 76 10 磅"/>
    <w:rPr>
      <w:rFonts w:ascii="Times New Roman" w:eastAsia="宋体" w:cs="Times New Roman" w:hAnsi="Times New Roman"/>
      <w:sz w:val="21"/>
      <w:lang w:val="en-US" w:eastAsia="zh-CN" w:bidi="ar-SA"/>
    </w:rPr>
  </w:style>
  <w:style w:type="paragraph" w:customStyle="1" w:styleId="161">
    <w:name w:val="样式 77 10 磅"/>
    <w:rPr>
      <w:rFonts w:ascii="Times New Roman" w:eastAsia="宋体" w:cs="Times New Roman" w:hAnsi="Times New Roman"/>
      <w:sz w:val="21"/>
      <w:lang w:val="en-US" w:eastAsia="zh-CN" w:bidi="ar-SA"/>
    </w:rPr>
  </w:style>
  <w:style w:type="paragraph" w:customStyle="1" w:styleId="162">
    <w:name w:val="样式 78 10 磅"/>
    <w:rPr>
      <w:rFonts w:ascii="Times New Roman" w:eastAsia="宋体" w:cs="Times New Roman" w:hAnsi="Times New Roman"/>
      <w:sz w:val="21"/>
      <w:lang w:val="en-US" w:eastAsia="zh-CN" w:bidi="ar-SA"/>
    </w:rPr>
  </w:style>
  <w:style w:type="paragraph" w:customStyle="1" w:styleId="163">
    <w:name w:val="样式 79 10 磅"/>
    <w:rPr>
      <w:rFonts w:ascii="Times New Roman" w:eastAsia="宋体" w:cs="Times New Roman" w:hAnsi="Times New Roman"/>
      <w:sz w:val="21"/>
      <w:lang w:val="en-US" w:eastAsia="zh-CN" w:bidi="ar-SA"/>
    </w:rPr>
  </w:style>
  <w:style w:type="paragraph" w:customStyle="1" w:styleId="164">
    <w:name w:val="样式 80 10 磅"/>
    <w:rPr>
      <w:rFonts w:ascii="Times New Roman" w:eastAsia="宋体" w:cs="Times New Roman" w:hAnsi="Times New Roman"/>
      <w:sz w:val="21"/>
      <w:lang w:val="en-US" w:eastAsia="zh-CN" w:bidi="ar-SA"/>
    </w:rPr>
  </w:style>
  <w:style w:type="paragraph" w:customStyle="1" w:styleId="165">
    <w:name w:val="样式 81 10 磅"/>
    <w:rPr>
      <w:rFonts w:ascii="Times New Roman" w:eastAsia="宋体" w:cs="Times New Roman" w:hAnsi="Times New Roman"/>
      <w:sz w:val="21"/>
      <w:lang w:val="en-US" w:eastAsia="zh-CN" w:bidi="ar-SA"/>
    </w:rPr>
  </w:style>
  <w:style w:type="paragraph" w:customStyle="1" w:styleId="166">
    <w:name w:val="样式 82 10 磅"/>
    <w:rPr>
      <w:rFonts w:ascii="Times New Roman" w:eastAsia="宋体" w:cs="Times New Roman" w:hAnsi="Times New Roman"/>
      <w:sz w:val="21"/>
      <w:lang w:val="en-US" w:eastAsia="zh-CN" w:bidi="ar-SA"/>
    </w:rPr>
  </w:style>
  <w:style w:type="paragraph" w:customStyle="1" w:styleId="167">
    <w:name w:val="样式 83 10 磅"/>
    <w:rPr>
      <w:rFonts w:ascii="Times New Roman" w:eastAsia="宋体" w:cs="Times New Roman" w:hAnsi="Times New Roman"/>
      <w:sz w:val="21"/>
      <w:lang w:val="en-US" w:eastAsia="zh-CN" w:bidi="ar-SA"/>
    </w:rPr>
  </w:style>
  <w:style w:type="paragraph" w:customStyle="1" w:styleId="168">
    <w:name w:val="样式 84 10 磅"/>
    <w:pPr>
      <w:widowControl w:val="0"/>
      <w:jc w:val="both"/>
    </w:pPr>
    <w:rPr>
      <w:rFonts w:ascii="宋体" w:eastAsia="宋体" w:cs="Times New Roman"/>
      <w:kern w:val="2"/>
      <w:sz w:val="21"/>
      <w:lang w:val="en-US" w:eastAsia="zh-CN" w:bidi="ar-SA"/>
    </w:rPr>
  </w:style>
  <w:style w:type="paragraph" w:customStyle="1" w:styleId="169">
    <w:name w:val="样式 85 10 磅"/>
    <w:pPr>
      <w:widowControl w:val="0"/>
      <w:jc w:val="both"/>
    </w:pPr>
    <w:rPr>
      <w:rFonts w:ascii="宋体" w:eastAsia="宋体" w:cs="Times New Roman"/>
      <w:kern w:val="2"/>
      <w:sz w:val="21"/>
      <w:lang w:val="en-US" w:eastAsia="zh-CN" w:bidi="ar-SA"/>
    </w:rPr>
  </w:style>
  <w:style w:type="paragraph" w:customStyle="1" w:styleId="170">
    <w:name w:val="样式 86 10 磅"/>
    <w:pPr>
      <w:widowControl w:val="0"/>
      <w:jc w:val="both"/>
    </w:pPr>
    <w:rPr>
      <w:rFonts w:ascii="宋体" w:eastAsia="宋体" w:cs="Times New Roman"/>
      <w:kern w:val="2"/>
      <w:sz w:val="21"/>
      <w:lang w:val="en-US" w:eastAsia="zh-CN" w:bidi="ar-SA"/>
    </w:rPr>
  </w:style>
  <w:style w:type="paragraph" w:customStyle="1" w:styleId="171">
    <w:name w:val="样式 87 10 磅"/>
    <w:pPr>
      <w:widowControl w:val="0"/>
      <w:jc w:val="both"/>
    </w:pPr>
    <w:rPr>
      <w:rFonts w:ascii="宋体" w:eastAsia="宋体" w:cs="Times New Roman"/>
      <w:kern w:val="2"/>
      <w:sz w:val="21"/>
      <w:lang w:val="en-US" w:eastAsia="zh-CN" w:bidi="ar-SA"/>
    </w:rPr>
  </w:style>
  <w:style w:type="paragraph" w:customStyle="1" w:styleId="172">
    <w:name w:val="样式4"/>
    <w:next w:val="18"/>
    <w:pPr>
      <w:jc w:val="center"/>
      <w:outlineLvl w:val="0"/>
    </w:pPr>
    <w:rPr>
      <w:rFonts w:ascii="Times New Roman" w:eastAsia="宋体" w:cs="Times New Roman" w:hAnsi="Times New Roman"/>
      <w:b/>
      <w:bCs/>
      <w:sz w:val="32"/>
      <w:szCs w:val="32"/>
      <w:lang w:val="en-US" w:eastAsia="zh-CN" w:bidi="ar-SA"/>
    </w:rPr>
  </w:style>
  <w:style w:type="paragraph" w:customStyle="1" w:styleId="173">
    <w:name w:val="样式 88 10 磅"/>
    <w:pPr>
      <w:widowControl w:val="0"/>
      <w:jc w:val="both"/>
    </w:pPr>
    <w:rPr>
      <w:rFonts w:ascii="宋体" w:eastAsia="宋体" w:cs="Times New Roman"/>
      <w:kern w:val="2"/>
      <w:sz w:val="21"/>
      <w:lang w:val="en-US" w:eastAsia="zh-CN" w:bidi="ar-SA"/>
    </w:rPr>
  </w:style>
  <w:style w:type="paragraph" w:customStyle="1" w:styleId="174">
    <w:name w:val="样式 89 10 磅"/>
    <w:rPr>
      <w:rFonts w:ascii="Times New Roman" w:eastAsia="宋体" w:cs="Times New Roman" w:hAnsi="Times New Roman"/>
      <w:sz w:val="21"/>
      <w:lang w:val="en-US" w:eastAsia="zh-CN" w:bidi="ar-SA"/>
    </w:rPr>
  </w:style>
  <w:style w:type="paragraph" w:customStyle="1" w:styleId="175">
    <w:name w:val="样式 1 小四"/>
    <w:pPr>
      <w:widowControl w:val="0"/>
      <w:jc w:val="both"/>
    </w:pPr>
    <w:rPr>
      <w:rFonts w:ascii="Times New Roman" w:eastAsia="宋体" w:cs="Times New Roman" w:hAnsi="Times New Roman"/>
      <w:kern w:val="2"/>
      <w:sz w:val="24"/>
      <w:szCs w:val="24"/>
      <w:lang w:val="en-US" w:eastAsia="zh-CN" w:bidi="ar-SA"/>
    </w:rPr>
  </w:style>
  <w:style w:type="paragraph" w:customStyle="1" w:styleId="176">
    <w:name w:val="样式 三号"/>
    <w:pPr>
      <w:keepNext/>
      <w:keepLines/>
      <w:widowControl w:val="0"/>
      <w:spacing w:before="260" w:after="260" w:line="415" w:lineRule="auto"/>
      <w:jc w:val="both"/>
      <w:outlineLvl w:val="1"/>
    </w:pPr>
    <w:rPr>
      <w:rFonts w:ascii="Cambria" w:eastAsia="宋体" w:cs="Times New Roman" w:hAnsi="Cambria"/>
      <w:b/>
      <w:bCs/>
      <w:kern w:val="2"/>
      <w:sz w:val="32"/>
      <w:szCs w:val="32"/>
      <w:lang w:val="en-US" w:eastAsia="zh-CN" w:bidi="ar-SA"/>
    </w:rPr>
  </w:style>
  <w:style w:type="paragraph" w:customStyle="1" w:styleId="177">
    <w:name w:val="样式 小三"/>
    <w:pPr>
      <w:widowControl w:val="0"/>
      <w:spacing w:line="360" w:lineRule="auto"/>
      <w:ind w:firstLineChars="200" w:firstLine="200"/>
      <w:jc w:val="both"/>
    </w:pPr>
    <w:rPr>
      <w:rFonts w:ascii="仿宋_GB2312" w:eastAsia="仿宋_GB2312" w:cs="宋体"/>
      <w:kern w:val="2"/>
      <w:sz w:val="30"/>
      <w:szCs w:val="30"/>
      <w:lang w:val="en-US" w:eastAsia="zh-CN" w:bidi="ar-SA"/>
    </w:rPr>
  </w:style>
  <w:style w:type="paragraph" w:customStyle="1" w:styleId="178">
    <w:name w:val="样式 90 10 磅"/>
    <w:rPr>
      <w:rFonts w:ascii="Times New Roman" w:eastAsia="宋体" w:cs="Times New Roman" w:hAnsi="Times New Roman"/>
      <w:sz w:val="21"/>
      <w:lang w:val="en-US" w:eastAsia="zh-CN" w:bidi="ar-SA"/>
    </w:rPr>
  </w:style>
  <w:style w:type="paragraph" w:customStyle="1" w:styleId="179">
    <w:name w:val="封面1"/>
    <w:next w:val="147"/>
    <w:pPr>
      <w:widowControl w:val="0"/>
      <w:tabs>
        <w:tab w:val="left" w:pos="840"/>
        <w:tab w:val="right" w:leader="dot" w:pos="8296"/>
      </w:tabs>
      <w:spacing w:before="120" w:after="120" w:line="360" w:lineRule="auto"/>
      <w:ind w:firstLine="425"/>
      <w:jc w:val="center"/>
    </w:pPr>
    <w:rPr>
      <w:rFonts w:ascii="黑体" w:eastAsia="黑体" w:cs="Times New Roman"/>
      <w:caps/>
      <w:smallCaps w:val="0"/>
      <w:spacing w:val="50"/>
      <w:kern w:val="2"/>
      <w:sz w:val="52"/>
      <w:szCs w:val="24"/>
      <w:lang w:val="en-US" w:eastAsia="zh-CN" w:bidi="ar-SA"/>
    </w:rPr>
  </w:style>
  <w:style w:type="paragraph" w:customStyle="1" w:styleId="180">
    <w:name w:val="3"/>
    <w:next w:val="42"/>
    <w:pPr>
      <w:widowControl w:val="0"/>
      <w:jc w:val="both"/>
    </w:pPr>
    <w:rPr>
      <w:rFonts w:ascii="宋体" w:eastAsia="宋体" w:cs="Times New Roman"/>
      <w:kern w:val="2"/>
      <w:sz w:val="21"/>
      <w:lang w:val="en-US" w:eastAsia="zh-CN" w:bidi="ar-SA"/>
    </w:rPr>
  </w:style>
  <w:style w:type="paragraph" w:customStyle="1" w:styleId="181">
    <w:name w:val="题注4"/>
    <w:next w:val="28"/>
    <w:pPr>
      <w:widowControl w:val="0"/>
      <w:ind w:leftChars="-64" w:left="-62" w:rightChars="-50" w:right="-50" w:hanging="2"/>
      <w:jc w:val="center"/>
    </w:pPr>
    <w:rPr>
      <w:rFonts w:ascii="Times New Roman" w:eastAsia="宋体" w:cs="Times New Roman" w:hAnsi="Times New Roman"/>
      <w:b/>
      <w:color w:val="FF0000"/>
      <w:kern w:val="2"/>
      <w:sz w:val="21"/>
      <w:lang w:val="en-GB" w:eastAsia="zh-CN" w:bidi="ar-SA"/>
    </w:rPr>
  </w:style>
  <w:style w:type="paragraph" w:customStyle="1" w:styleId="182">
    <w:name w:val="样式 91 10 磅"/>
    <w:pPr>
      <w:spacing w:after="120"/>
    </w:pPr>
    <w:rPr>
      <w:rFonts w:ascii="Times New Roman" w:eastAsia="宋体" w:cs="Times New Roman" w:hAnsi="Times New Roman"/>
      <w:sz w:val="21"/>
      <w:lang w:val="en-US" w:eastAsia="zh-CN" w:bidi="ar-SA"/>
    </w:rPr>
  </w:style>
  <w:style w:type="paragraph" w:customStyle="1" w:styleId="183">
    <w:name w:val="样式 首行缩进:  0.74 厘米"/>
    <w:next w:val="144"/>
    <w:pPr>
      <w:widowControl w:val="0"/>
      <w:spacing w:line="360" w:lineRule="auto"/>
      <w:ind w:firstLineChars="200" w:firstLine="200"/>
      <w:jc w:val="both"/>
    </w:pPr>
    <w:rPr>
      <w:rFonts w:ascii="Times New Roman" w:eastAsia="宋体" w:cs="宋体" w:hAnsi="Times New Roman"/>
      <w:kern w:val="2"/>
      <w:sz w:val="24"/>
      <w:lang w:val="en-US" w:eastAsia="zh-CN" w:bidi="ar-SA"/>
    </w:rPr>
  </w:style>
  <w:style w:type="paragraph" w:customStyle="1" w:styleId="184">
    <w:name w:val="样式 92 10 磅"/>
    <w:rPr>
      <w:rFonts w:ascii="Times New Roman" w:eastAsia="宋体" w:cs="Times New Roman" w:hAnsi="Times New Roman"/>
      <w:sz w:val="21"/>
      <w:lang w:val="en-US" w:eastAsia="zh-CN" w:bidi="ar-SA"/>
    </w:rPr>
  </w:style>
  <w:style w:type="paragraph" w:customStyle="1" w:styleId="185">
    <w:name w:val="样式 93 10 磅"/>
    <w:rPr>
      <w:rFonts w:ascii="Times New Roman" w:eastAsia="宋体" w:cs="Times New Roman" w:hAnsi="Times New Roman"/>
      <w:sz w:val="21"/>
      <w:lang w:val="en-US" w:eastAsia="zh-CN" w:bidi="ar-SA"/>
    </w:rPr>
  </w:style>
  <w:style w:type="paragraph" w:customStyle="1" w:styleId="186">
    <w:name w:val="样式 二号"/>
    <w:pPr>
      <w:keepNext/>
      <w:keepLines/>
      <w:spacing w:before="340" w:after="330" w:line="360" w:lineRule="auto"/>
      <w:outlineLvl w:val="0"/>
    </w:pPr>
    <w:rPr>
      <w:rFonts w:ascii="Times New Roman" w:eastAsia="宋体" w:cs="Times New Roman" w:hAnsi="Times New Roman"/>
      <w:b/>
      <w:bCs/>
      <w:kern w:val="44"/>
      <w:sz w:val="44"/>
      <w:szCs w:val="44"/>
      <w:lang w:val="en-US" w:eastAsia="zh-CN" w:bidi="ar-SA"/>
    </w:rPr>
  </w:style>
  <w:style w:type="paragraph" w:customStyle="1" w:styleId="187">
    <w:name w:val="样式 94 10 磅"/>
    <w:pPr>
      <w:widowControl w:val="0"/>
      <w:jc w:val="both"/>
    </w:pPr>
    <w:rPr>
      <w:rFonts w:ascii="宋体" w:eastAsia="宋体" w:cs="Times New Roman"/>
      <w:kern w:val="2"/>
      <w:sz w:val="21"/>
      <w:lang w:val="en-US" w:eastAsia="zh-CN" w:bidi="ar-SA"/>
    </w:rPr>
  </w:style>
  <w:style w:type="paragraph" w:customStyle="1" w:styleId="188">
    <w:name w:val="样式 95 10 磅"/>
    <w:rPr>
      <w:rFonts w:ascii="Times New Roman" w:eastAsia="宋体" w:cs="Times New Roman" w:hAnsi="Times New Roman"/>
      <w:sz w:val="21"/>
      <w:lang w:val="en-US" w:eastAsia="zh-CN" w:bidi="ar-SA"/>
    </w:rPr>
  </w:style>
  <w:style w:type="paragraph" w:customStyle="1" w:styleId="189">
    <w:name w:val="样式 96 10 磅"/>
    <w:rPr>
      <w:rFonts w:ascii="Times New Roman" w:eastAsia="宋体" w:cs="Times New Roman" w:hAnsi="Times New Roman"/>
      <w:sz w:val="21"/>
      <w:lang w:val="en-US" w:eastAsia="zh-CN" w:bidi="ar-SA"/>
    </w:rPr>
  </w:style>
  <w:style w:type="paragraph" w:customStyle="1" w:styleId="190">
    <w:name w:val="样式 97 10 磅"/>
    <w:rPr>
      <w:rFonts w:ascii="Times New Roman" w:eastAsia="宋体" w:cs="Times New Roman" w:hAnsi="Times New Roman"/>
      <w:sz w:val="21"/>
      <w:lang w:val="en-US" w:eastAsia="zh-CN" w:bidi="ar-SA"/>
    </w:rPr>
  </w:style>
  <w:style w:type="paragraph" w:customStyle="1" w:styleId="191">
    <w:name w:val="样式 98 10 磅"/>
    <w:rPr>
      <w:rFonts w:ascii="Times New Roman" w:eastAsia="宋体" w:cs="Times New Roman" w:hAnsi="Times New Roman"/>
      <w:sz w:val="21"/>
      <w:lang w:val="en-US" w:eastAsia="zh-CN" w:bidi="ar-SA"/>
    </w:rPr>
  </w:style>
  <w:style w:type="paragraph" w:customStyle="1" w:styleId="192">
    <w:name w:val="样式 99 10 磅"/>
    <w:rPr>
      <w:rFonts w:ascii="Times New Roman" w:eastAsia="宋体" w:cs="Times New Roman" w:hAnsi="Times New Roman"/>
      <w:sz w:val="21"/>
      <w:lang w:val="en-US" w:eastAsia="zh-CN" w:bidi="ar-SA"/>
    </w:rPr>
  </w:style>
  <w:style w:type="paragraph" w:customStyle="1" w:styleId="193">
    <w:name w:val="样式 116 10 磅"/>
    <w:rPr>
      <w:rFonts w:ascii="Times New Roman" w:eastAsia="宋体" w:cs="Times New Roman" w:hAnsi="Times New Roman"/>
      <w:sz w:val="21"/>
      <w:lang w:val="en-US" w:eastAsia="zh-CN" w:bidi="ar-SA"/>
    </w:rPr>
  </w:style>
  <w:style w:type="paragraph" w:customStyle="1" w:styleId="194">
    <w:name w:val="样式 117 10 磅"/>
    <w:rPr>
      <w:rFonts w:ascii="Times New Roman" w:eastAsia="宋体" w:cs="Times New Roman" w:hAnsi="Times New Roman"/>
      <w:sz w:val="21"/>
      <w:lang w:val="en-US" w:eastAsia="zh-CN" w:bidi="ar-SA"/>
    </w:rPr>
  </w:style>
  <w:style w:type="paragraph" w:customStyle="1" w:styleId="195">
    <w:name w:val="样式 114 10 磅"/>
    <w:rPr>
      <w:rFonts w:ascii="Times New Roman" w:eastAsia="宋体" w:cs="Times New Roman" w:hAnsi="Times New Roman"/>
      <w:sz w:val="21"/>
      <w:lang w:val="en-US" w:eastAsia="zh-CN" w:bidi="ar-SA"/>
    </w:rPr>
  </w:style>
  <w:style w:type="paragraph" w:customStyle="1" w:styleId="196">
    <w:name w:val="样式 100 10 磅"/>
    <w:rPr>
      <w:rFonts w:ascii="Times New Roman" w:eastAsia="宋体" w:cs="Times New Roman" w:hAnsi="Times New Roman"/>
      <w:sz w:val="21"/>
      <w:lang w:val="en-US" w:eastAsia="zh-CN" w:bidi="ar-SA"/>
    </w:rPr>
  </w:style>
  <w:style w:type="paragraph" w:customStyle="1" w:styleId="197">
    <w:name w:val="样式 101 10 磅"/>
    <w:rPr>
      <w:rFonts w:ascii="Times New Roman" w:eastAsia="宋体" w:cs="Times New Roman" w:hAnsi="Times New Roman"/>
      <w:sz w:val="21"/>
      <w:lang w:val="en-US" w:eastAsia="zh-CN" w:bidi="ar-SA"/>
    </w:rPr>
  </w:style>
  <w:style w:type="paragraph" w:customStyle="1" w:styleId="198">
    <w:name w:val="样式 80 小四"/>
    <w:next w:val="17"/>
    <w:pPr>
      <w:widowControl w:val="0"/>
    </w:pPr>
    <w:rPr>
      <w:rFonts w:ascii="宋体" w:eastAsia="宋体" w:cs="Times New Roman"/>
      <w:kern w:val="2"/>
      <w:sz w:val="24"/>
      <w:szCs w:val="21"/>
      <w:lang w:val="en-US" w:eastAsia="zh-CN" w:bidi="ar-SA"/>
    </w:rPr>
  </w:style>
  <w:style w:type="paragraph" w:customStyle="1" w:styleId="199">
    <w:name w:val="样式 102 10 磅"/>
    <w:rPr>
      <w:rFonts w:ascii="Times New Roman" w:eastAsia="宋体" w:cs="Times New Roman" w:hAnsi="Times New Roman"/>
      <w:sz w:val="21"/>
      <w:lang w:val="en-US" w:eastAsia="zh-CN" w:bidi="ar-SA"/>
    </w:rPr>
  </w:style>
  <w:style w:type="paragraph" w:customStyle="1" w:styleId="200">
    <w:name w:val="样式 103 10 磅"/>
    <w:rPr>
      <w:rFonts w:ascii="Times New Roman" w:eastAsia="宋体" w:cs="Times New Roman" w:hAnsi="Times New Roman"/>
      <w:sz w:val="21"/>
      <w:lang w:val="en-US" w:eastAsia="zh-CN" w:bidi="ar-SA"/>
    </w:rPr>
  </w:style>
  <w:style w:type="paragraph" w:customStyle="1" w:styleId="201">
    <w:name w:val="样式 1 三号"/>
    <w:pPr>
      <w:widowControl w:val="0"/>
      <w:jc w:val="both"/>
    </w:pPr>
    <w:rPr>
      <w:rFonts w:ascii="Times New Roman" w:eastAsia="方正仿宋_GBK" w:cs="Times New Roman" w:hAnsi="Times New Roman"/>
      <w:kern w:val="2"/>
      <w:sz w:val="32"/>
      <w:lang w:val="en-US" w:eastAsia="zh-CN" w:bidi="ar-SA"/>
    </w:rPr>
  </w:style>
  <w:style w:type="paragraph" w:customStyle="1" w:styleId="202">
    <w:name w:val="样式 2 三号"/>
    <w:pPr>
      <w:widowControl w:val="0"/>
      <w:jc w:val="both"/>
    </w:pPr>
    <w:rPr>
      <w:rFonts w:ascii="Times New Roman" w:eastAsia="方正仿宋_GBK" w:cs="Times New Roman" w:hAnsi="Times New Roman"/>
      <w:kern w:val="2"/>
      <w:sz w:val="32"/>
      <w:lang w:val="en-US" w:eastAsia="zh-CN" w:bidi="ar-SA"/>
    </w:rPr>
  </w:style>
  <w:style w:type="paragraph" w:styleId="203">
    <w:name w:val="Date"/>
    <w:basedOn w:val="0"/>
    <w:next w:val="0"/>
  </w:style>
  <w:style w:type="paragraph" w:customStyle="1" w:styleId="204">
    <w:name w:val="样式 104 10 磅"/>
    <w:rPr>
      <w:rFonts w:ascii="Times New Roman" w:eastAsia="宋体" w:cs="Times New Roman" w:hAnsi="Times New Roman"/>
      <w:sz w:val="21"/>
      <w:lang w:val="en-US" w:eastAsia="zh-CN" w:bidi="ar-SA"/>
    </w:rPr>
  </w:style>
  <w:style w:type="paragraph" w:customStyle="1" w:styleId="205">
    <w:name w:val="样式 105 10 磅"/>
    <w:rPr>
      <w:rFonts w:ascii="Times New Roman" w:eastAsia="宋体" w:cs="Times New Roman" w:hAnsi="Times New Roman"/>
      <w:sz w:val="21"/>
      <w:lang w:val="en-US" w:eastAsia="zh-CN" w:bidi="ar-SA"/>
    </w:rPr>
  </w:style>
  <w:style w:type="paragraph" w:customStyle="1" w:styleId="206">
    <w:name w:val="样式 106 10 磅"/>
    <w:rPr>
      <w:rFonts w:ascii="Times New Roman" w:eastAsia="宋体" w:cs="Times New Roman" w:hAnsi="Times New Roman"/>
      <w:sz w:val="21"/>
      <w:lang w:val="en-US" w:eastAsia="zh-CN" w:bidi="ar-SA"/>
    </w:rPr>
  </w:style>
  <w:style w:type="paragraph" w:customStyle="1" w:styleId="207">
    <w:name w:val="样式 107 10 磅"/>
    <w:rPr>
      <w:rFonts w:ascii="Times New Roman" w:eastAsia="宋体" w:cs="Times New Roman" w:hAnsi="Times New Roman"/>
      <w:sz w:val="21"/>
      <w:lang w:val="en-US" w:eastAsia="zh-CN" w:bidi="ar-SA"/>
    </w:rPr>
  </w:style>
  <w:style w:type="paragraph" w:customStyle="1" w:styleId="208">
    <w:name w:val="样式 108 10 磅"/>
    <w:rPr>
      <w:rFonts w:ascii="Times New Roman" w:eastAsia="宋体" w:cs="Times New Roman" w:hAnsi="Times New Roman"/>
      <w:sz w:val="21"/>
      <w:lang w:val="en-US" w:eastAsia="zh-CN" w:bidi="ar-SA"/>
    </w:rPr>
  </w:style>
  <w:style w:type="paragraph" w:customStyle="1" w:styleId="292">
    <w:name w:val="样式 109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911</TotalTime>
  <Application>Yozo_Office</Application>
  <Pages>49</Pages>
  <Words>24199</Words>
  <Characters>25136</Characters>
  <Lines>1391</Lines>
  <Paragraphs>697</Paragraphs>
  <CharactersWithSpaces>26650</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qingxiaz</dc:creator>
  <cp:lastModifiedBy>马敏</cp:lastModifiedBy>
  <cp:revision>105</cp:revision>
  <cp:lastPrinted>2022-08-08T03:16:00Z</cp:lastPrinted>
  <dcterms:created xsi:type="dcterms:W3CDTF">2023-05-06T02:14:00Z</dcterms:created>
  <dcterms:modified xsi:type="dcterms:W3CDTF">2025-10-13T06:34:06Z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2052-12.1.0.15120</vt:lpwstr>
  </property>
  <property fmtid="{D5CDD505-2E9C-101B-9397-08002B2CF9AE}" pid="3" name="ICV">
    <vt:lpwstr>16D977FCFC24498B9FDAE585716B33CA_13</vt:lpwstr>
  </property>
</Properties>
</file>